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DBBFC" w14:textId="455D658C" w:rsidR="005757C4" w:rsidRPr="007038B8" w:rsidRDefault="005757C4" w:rsidP="005757C4">
      <w:pPr>
        <w:rPr>
          <w:b/>
          <w:bCs/>
          <w:sz w:val="24"/>
          <w:szCs w:val="24"/>
        </w:rPr>
      </w:pPr>
      <w:r w:rsidRPr="007038B8">
        <w:rPr>
          <w:b/>
          <w:bCs/>
          <w:sz w:val="24"/>
          <w:szCs w:val="24"/>
        </w:rPr>
        <w:t>University of the Highlands and Islands</w:t>
      </w:r>
    </w:p>
    <w:p w14:paraId="1F3164D0" w14:textId="1043DDFA" w:rsidR="002F69C2" w:rsidRDefault="007837E9" w:rsidP="005757C4">
      <w:pPr>
        <w:rPr>
          <w:b/>
          <w:bCs/>
          <w:sz w:val="24"/>
          <w:szCs w:val="24"/>
        </w:rPr>
      </w:pPr>
      <w:r>
        <w:rPr>
          <w:b/>
          <w:bCs/>
          <w:sz w:val="24"/>
          <w:szCs w:val="24"/>
        </w:rPr>
        <w:t>Audit Committee</w:t>
      </w:r>
      <w:r w:rsidR="00465F11" w:rsidRPr="007038B8">
        <w:rPr>
          <w:b/>
          <w:bCs/>
          <w:sz w:val="24"/>
          <w:szCs w:val="24"/>
        </w:rPr>
        <w:t xml:space="preserve"> – Terms of Reference</w:t>
      </w:r>
      <w:r w:rsidR="005757C4" w:rsidRPr="007038B8">
        <w:rPr>
          <w:b/>
          <w:bCs/>
          <w:sz w:val="24"/>
          <w:szCs w:val="24"/>
        </w:rPr>
        <w:t xml:space="preserve"> and Membership</w:t>
      </w:r>
    </w:p>
    <w:p w14:paraId="61D1B1D0" w14:textId="77777777" w:rsidR="00CB3CF6" w:rsidRPr="007038B8" w:rsidRDefault="00CB3CF6" w:rsidP="005757C4">
      <w:pPr>
        <w:rPr>
          <w:b/>
          <w:bCs/>
          <w:sz w:val="24"/>
          <w:szCs w:val="24"/>
        </w:rPr>
      </w:pPr>
    </w:p>
    <w:p w14:paraId="44F54279" w14:textId="77777777" w:rsidR="002F69C2" w:rsidRPr="00BD3D62" w:rsidRDefault="002F69C2" w:rsidP="005757C4">
      <w:pPr>
        <w:rPr>
          <w:rFonts w:asciiTheme="minorHAnsi" w:hAnsiTheme="minorHAnsi" w:cstheme="minorHAnsi"/>
          <w:b/>
        </w:rPr>
      </w:pPr>
    </w:p>
    <w:p w14:paraId="124E7103" w14:textId="77777777" w:rsidR="00FC61D3" w:rsidRPr="00BD3D62" w:rsidRDefault="00FC61D3" w:rsidP="00FC61D3">
      <w:pPr>
        <w:pStyle w:val="Default"/>
        <w:rPr>
          <w:rFonts w:asciiTheme="minorHAnsi" w:hAnsiTheme="minorHAnsi" w:cstheme="minorHAnsi"/>
          <w:b/>
          <w:sz w:val="22"/>
          <w:szCs w:val="22"/>
        </w:rPr>
      </w:pPr>
      <w:r w:rsidRPr="00BD3D62">
        <w:rPr>
          <w:rFonts w:asciiTheme="minorHAnsi" w:hAnsiTheme="minorHAnsi" w:cstheme="minorHAnsi"/>
          <w:b/>
          <w:sz w:val="22"/>
          <w:szCs w:val="22"/>
        </w:rPr>
        <w:t xml:space="preserve">1. </w:t>
      </w:r>
      <w:r w:rsidR="00465F11" w:rsidRPr="00BD3D62">
        <w:rPr>
          <w:rFonts w:asciiTheme="minorHAnsi" w:hAnsiTheme="minorHAnsi" w:cstheme="minorHAnsi"/>
          <w:b/>
          <w:sz w:val="22"/>
          <w:szCs w:val="22"/>
        </w:rPr>
        <w:t>Constitutio</w:t>
      </w:r>
      <w:r w:rsidR="00FF2569" w:rsidRPr="00BD3D62">
        <w:rPr>
          <w:rFonts w:asciiTheme="minorHAnsi" w:hAnsiTheme="minorHAnsi" w:cstheme="minorHAnsi"/>
          <w:b/>
          <w:sz w:val="22"/>
          <w:szCs w:val="22"/>
        </w:rPr>
        <w:t>n</w:t>
      </w:r>
    </w:p>
    <w:p w14:paraId="4B50D8DB" w14:textId="382303F4" w:rsidR="00516472" w:rsidRPr="00516472" w:rsidRDefault="00FC61D3" w:rsidP="00516472">
      <w:pPr>
        <w:pStyle w:val="Default"/>
      </w:pPr>
      <w:r w:rsidRPr="00BD3D62">
        <w:rPr>
          <w:rFonts w:asciiTheme="minorHAnsi" w:hAnsiTheme="minorHAnsi" w:cstheme="minorHAnsi"/>
          <w:bCs/>
          <w:sz w:val="22"/>
          <w:szCs w:val="22"/>
        </w:rPr>
        <w:t>T</w:t>
      </w:r>
      <w:r w:rsidRPr="00FC61D3">
        <w:rPr>
          <w:rFonts w:asciiTheme="minorHAnsi" w:hAnsiTheme="minorHAnsi" w:cstheme="minorHAnsi"/>
          <w:bCs/>
          <w:sz w:val="22"/>
          <w:szCs w:val="22"/>
        </w:rPr>
        <w:t>he</w:t>
      </w:r>
      <w:r w:rsidRPr="00FC61D3">
        <w:rPr>
          <w:rFonts w:asciiTheme="minorHAnsi" w:hAnsiTheme="minorHAnsi" w:cstheme="minorHAnsi"/>
          <w:sz w:val="22"/>
          <w:szCs w:val="22"/>
        </w:rPr>
        <w:t xml:space="preserve"> Court has established a committee of the governing body known as the audit committee. </w:t>
      </w:r>
    </w:p>
    <w:p w14:paraId="26BC59A7" w14:textId="77777777" w:rsidR="00516472" w:rsidRDefault="00516472" w:rsidP="00516472">
      <w:pPr>
        <w:pStyle w:val="Default"/>
      </w:pPr>
      <w:r w:rsidRPr="00516472">
        <w:t xml:space="preserve"> </w:t>
      </w:r>
    </w:p>
    <w:p w14:paraId="1003FDAB" w14:textId="21D76A8D" w:rsidR="002F69C2" w:rsidRPr="00516472" w:rsidRDefault="00516472" w:rsidP="00516472">
      <w:pPr>
        <w:pStyle w:val="Default"/>
        <w:rPr>
          <w:rFonts w:asciiTheme="minorHAnsi" w:hAnsiTheme="minorHAnsi" w:cstheme="minorHAnsi"/>
          <w:sz w:val="22"/>
          <w:szCs w:val="22"/>
        </w:rPr>
      </w:pPr>
      <w:r w:rsidRPr="00516472">
        <w:rPr>
          <w:rFonts w:asciiTheme="minorHAnsi" w:hAnsiTheme="minorHAnsi" w:cstheme="minorHAnsi"/>
          <w:sz w:val="22"/>
          <w:szCs w:val="22"/>
        </w:rPr>
        <w:t>The chair of the governing body should not be a member of the committee. Plus, no member of management should be permitted to become a member of the Audit Committee. The Chair and at least one member should have knowledge and experience in finance, accounting and auditing and have relevant experience. The committee may if it considers it necessary or desirable, co-opt members with particular expertise.</w:t>
      </w:r>
    </w:p>
    <w:p w14:paraId="6C1CB37F" w14:textId="77777777" w:rsidR="005757C4" w:rsidRPr="00BD3D62" w:rsidRDefault="005757C4" w:rsidP="00FF2569">
      <w:pPr>
        <w:rPr>
          <w:rFonts w:asciiTheme="minorHAnsi" w:hAnsiTheme="minorHAnsi" w:cstheme="minorHAnsi"/>
          <w:bCs/>
        </w:rPr>
      </w:pPr>
    </w:p>
    <w:p w14:paraId="3ED980FE" w14:textId="4A6BE4F3" w:rsidR="005737DF" w:rsidRPr="00BD3D62" w:rsidRDefault="005737DF" w:rsidP="005737DF">
      <w:pPr>
        <w:pStyle w:val="Default"/>
        <w:rPr>
          <w:rFonts w:asciiTheme="minorHAnsi" w:hAnsiTheme="minorHAnsi" w:cstheme="minorHAnsi"/>
          <w:b/>
          <w:sz w:val="22"/>
          <w:szCs w:val="22"/>
        </w:rPr>
      </w:pPr>
      <w:r w:rsidRPr="00BD3D62">
        <w:rPr>
          <w:rFonts w:asciiTheme="minorHAnsi" w:hAnsiTheme="minorHAnsi" w:cstheme="minorHAnsi"/>
          <w:b/>
          <w:sz w:val="22"/>
          <w:szCs w:val="22"/>
        </w:rPr>
        <w:t xml:space="preserve">2. </w:t>
      </w:r>
      <w:r w:rsidR="00465F11" w:rsidRPr="00BD3D62">
        <w:rPr>
          <w:rFonts w:asciiTheme="minorHAnsi" w:hAnsiTheme="minorHAnsi" w:cstheme="minorHAnsi"/>
          <w:b/>
          <w:sz w:val="22"/>
          <w:szCs w:val="22"/>
        </w:rPr>
        <w:t>Terms of Office</w:t>
      </w:r>
      <w:r w:rsidRPr="00BD3D62">
        <w:rPr>
          <w:rFonts w:asciiTheme="minorHAnsi" w:hAnsiTheme="minorHAnsi" w:cstheme="minorHAnsi"/>
          <w:b/>
          <w:sz w:val="22"/>
          <w:szCs w:val="22"/>
        </w:rPr>
        <w:t xml:space="preserve"> </w:t>
      </w:r>
    </w:p>
    <w:p w14:paraId="07482948" w14:textId="1B6F0D96" w:rsidR="002F69C2" w:rsidRPr="00BD3D62" w:rsidRDefault="005C1A52" w:rsidP="00CB3CF6">
      <w:pPr>
        <w:pStyle w:val="Default"/>
        <w:rPr>
          <w:rFonts w:asciiTheme="minorHAnsi" w:hAnsiTheme="minorHAnsi" w:cstheme="minorHAnsi"/>
          <w:sz w:val="22"/>
          <w:szCs w:val="22"/>
        </w:rPr>
      </w:pPr>
      <w:r w:rsidRPr="00BD3D62">
        <w:rPr>
          <w:rFonts w:asciiTheme="minorHAnsi" w:hAnsiTheme="minorHAnsi" w:cstheme="minorHAnsi"/>
          <w:sz w:val="22"/>
          <w:szCs w:val="22"/>
        </w:rPr>
        <w:t>Members who are members of the Court shall have periods of office co-</w:t>
      </w:r>
      <w:r w:rsidR="00DB7639" w:rsidRPr="00BD3D62">
        <w:rPr>
          <w:rFonts w:asciiTheme="minorHAnsi" w:hAnsiTheme="minorHAnsi" w:cstheme="minorHAnsi"/>
          <w:sz w:val="22"/>
          <w:szCs w:val="22"/>
        </w:rPr>
        <w:t>terminus</w:t>
      </w:r>
      <w:r w:rsidRPr="00BD3D62">
        <w:rPr>
          <w:rFonts w:asciiTheme="minorHAnsi" w:hAnsiTheme="minorHAnsi" w:cstheme="minorHAnsi"/>
          <w:sz w:val="22"/>
          <w:szCs w:val="22"/>
        </w:rPr>
        <w:t xml:space="preserve"> with their appointment to the Court; members who are not members of the Court shall be appointed for a period of three years and shall be eligible for re-appointment for two further periods of three years and thereafter shall not be eligible for reappointment. The Chair shall be appointed for a period of three years with possibility of reappointment for a further period of three years. No person can serve as Chair for more than six years. The Chair of the Audit Committee should have a clearly identified Deputy Chair capable of standing in for the Chair.</w:t>
      </w:r>
    </w:p>
    <w:p w14:paraId="51208DEF" w14:textId="77777777" w:rsidR="005757C4" w:rsidRPr="00BD3D62" w:rsidRDefault="005757C4" w:rsidP="00FF2569">
      <w:pPr>
        <w:rPr>
          <w:rFonts w:asciiTheme="minorHAnsi" w:hAnsiTheme="minorHAnsi" w:cstheme="minorHAnsi"/>
          <w:bCs/>
        </w:rPr>
      </w:pPr>
    </w:p>
    <w:p w14:paraId="6ACB3D93" w14:textId="63A7138A" w:rsidR="00A1341A" w:rsidRPr="00BD3D62" w:rsidRDefault="00A1341A" w:rsidP="00A1341A">
      <w:pPr>
        <w:pStyle w:val="Default"/>
        <w:rPr>
          <w:rFonts w:asciiTheme="minorHAnsi" w:hAnsiTheme="minorHAnsi" w:cstheme="minorHAnsi"/>
          <w:sz w:val="22"/>
          <w:szCs w:val="22"/>
        </w:rPr>
      </w:pPr>
      <w:r w:rsidRPr="00BD3D62">
        <w:rPr>
          <w:rFonts w:asciiTheme="minorHAnsi" w:hAnsiTheme="minorHAnsi" w:cstheme="minorHAnsi"/>
          <w:b/>
          <w:sz w:val="22"/>
          <w:szCs w:val="22"/>
        </w:rPr>
        <w:t>3.</w:t>
      </w:r>
      <w:r w:rsidR="00465F11" w:rsidRPr="00BD3D62">
        <w:rPr>
          <w:rFonts w:asciiTheme="minorHAnsi" w:hAnsiTheme="minorHAnsi" w:cstheme="minorHAnsi"/>
          <w:b/>
          <w:sz w:val="22"/>
          <w:szCs w:val="22"/>
        </w:rPr>
        <w:t>Authority</w:t>
      </w:r>
      <w:bookmarkStart w:id="0" w:name="Audit_Committee_Terms_of_Reference_Novem"/>
      <w:bookmarkEnd w:id="0"/>
      <w:r w:rsidR="00DF056E" w:rsidRPr="00BD3D62">
        <w:rPr>
          <w:rFonts w:asciiTheme="minorHAnsi" w:hAnsiTheme="minorHAnsi" w:cstheme="minorHAnsi"/>
          <w:sz w:val="22"/>
          <w:szCs w:val="22"/>
        </w:rPr>
        <w:t xml:space="preserve"> </w:t>
      </w:r>
    </w:p>
    <w:p w14:paraId="57F7D927" w14:textId="48B42826" w:rsidR="00FF2569" w:rsidRPr="00303265" w:rsidRDefault="00A1341A" w:rsidP="00303265">
      <w:pPr>
        <w:pStyle w:val="BodyText"/>
        <w:kinsoku w:val="0"/>
        <w:overflowPunct w:val="0"/>
        <w:ind w:left="0" w:right="81"/>
        <w:rPr>
          <w:rFonts w:asciiTheme="minorHAnsi" w:hAnsiTheme="minorHAnsi" w:cstheme="minorHAnsi"/>
          <w:b/>
        </w:rPr>
      </w:pPr>
      <w:r w:rsidRPr="00BD3D62">
        <w:rPr>
          <w:rFonts w:asciiTheme="minorHAnsi" w:eastAsiaTheme="minorHAnsi" w:hAnsiTheme="minorHAnsi" w:cstheme="minorHAnsi"/>
          <w:color w:val="000000"/>
          <w:lang w:val="en-GB" w:bidi="ar-SA"/>
        </w:rPr>
        <w:t>The committee is authorised by the Court to investigate any activity within its terms of reference. It is authorised to seek any information it requires from any employee, and all employees are directed to co-operate with any request made by the committee.</w:t>
      </w:r>
    </w:p>
    <w:p w14:paraId="3C1C8D64" w14:textId="77777777" w:rsidR="00FF2569" w:rsidRPr="00BD3D62" w:rsidRDefault="00FF2569" w:rsidP="00FF2569">
      <w:pPr>
        <w:rPr>
          <w:rFonts w:asciiTheme="minorHAnsi" w:hAnsiTheme="minorHAnsi" w:cstheme="minorHAnsi"/>
          <w:bCs/>
        </w:rPr>
      </w:pPr>
    </w:p>
    <w:p w14:paraId="653717C7" w14:textId="77777777" w:rsidR="00A17547" w:rsidRPr="00BD3D62" w:rsidRDefault="000D00AA" w:rsidP="00A1341A">
      <w:pPr>
        <w:rPr>
          <w:rFonts w:asciiTheme="minorHAnsi" w:hAnsiTheme="minorHAnsi" w:cstheme="minorHAnsi"/>
        </w:rPr>
      </w:pPr>
      <w:r w:rsidRPr="00BD3D62">
        <w:rPr>
          <w:rFonts w:asciiTheme="minorHAnsi" w:hAnsiTheme="minorHAnsi" w:cstheme="minorHAnsi"/>
          <w:b/>
        </w:rPr>
        <w:t xml:space="preserve">4. </w:t>
      </w:r>
      <w:r w:rsidR="00465F11" w:rsidRPr="00BD3D62">
        <w:rPr>
          <w:rFonts w:asciiTheme="minorHAnsi" w:hAnsiTheme="minorHAnsi" w:cstheme="minorHAnsi"/>
          <w:b/>
        </w:rPr>
        <w:t>Proceedings</w:t>
      </w:r>
      <w:r w:rsidR="00A17547" w:rsidRPr="00BD3D62">
        <w:rPr>
          <w:rFonts w:asciiTheme="minorHAnsi" w:hAnsiTheme="minorHAnsi" w:cstheme="minorHAnsi"/>
        </w:rPr>
        <w:t xml:space="preserve"> </w:t>
      </w:r>
    </w:p>
    <w:p w14:paraId="05B73987" w14:textId="47E2DCA2" w:rsidR="002F69C2" w:rsidRPr="00BD3D62" w:rsidRDefault="00A17547" w:rsidP="00A1341A">
      <w:pPr>
        <w:rPr>
          <w:rFonts w:asciiTheme="minorHAnsi" w:hAnsiTheme="minorHAnsi" w:cstheme="minorHAnsi"/>
          <w:b/>
        </w:rPr>
      </w:pPr>
      <w:r w:rsidRPr="00BD3D62">
        <w:rPr>
          <w:rFonts w:asciiTheme="minorHAnsi" w:hAnsiTheme="minorHAnsi" w:cstheme="minorHAnsi"/>
        </w:rPr>
        <w:t>Meetings shall normally be held four times each financial year. The external auditors or head of internal audit may request a meeting if they consider it necessary. The head of finance (or equivalent), the head of internal audit and a representative of the external auditors shall normally attend meetings where business relevant to them is to be discussed. However, at least once a year the committee should meet with the external and internal auditors without any officers present.</w:t>
      </w:r>
    </w:p>
    <w:p w14:paraId="380615A7" w14:textId="77777777" w:rsidR="00FF2569" w:rsidRPr="00BD3D62" w:rsidRDefault="00FF2569" w:rsidP="00FF2569">
      <w:pPr>
        <w:rPr>
          <w:rFonts w:asciiTheme="minorHAnsi" w:hAnsiTheme="minorHAnsi" w:cstheme="minorHAnsi"/>
          <w:bCs/>
        </w:rPr>
      </w:pPr>
    </w:p>
    <w:p w14:paraId="2CEF17EF" w14:textId="56202A13" w:rsidR="002F69C2" w:rsidRPr="00BD3D62" w:rsidRDefault="00C24527" w:rsidP="00C24527">
      <w:pPr>
        <w:rPr>
          <w:rFonts w:asciiTheme="minorHAnsi" w:hAnsiTheme="minorHAnsi" w:cstheme="minorHAnsi"/>
          <w:b/>
        </w:rPr>
      </w:pPr>
      <w:r w:rsidRPr="00BD3D62">
        <w:rPr>
          <w:rFonts w:asciiTheme="minorHAnsi" w:hAnsiTheme="minorHAnsi" w:cstheme="minorHAnsi"/>
          <w:b/>
        </w:rPr>
        <w:t>5.</w:t>
      </w:r>
      <w:r w:rsidR="00465F11" w:rsidRPr="00BD3D62">
        <w:rPr>
          <w:rFonts w:asciiTheme="minorHAnsi" w:hAnsiTheme="minorHAnsi" w:cstheme="minorHAnsi"/>
          <w:b/>
        </w:rPr>
        <w:t>Terms of Reference</w:t>
      </w:r>
    </w:p>
    <w:p w14:paraId="2AFAFEDC" w14:textId="77777777" w:rsidR="001B2D76" w:rsidRPr="00BD3D62" w:rsidRDefault="001B2D76" w:rsidP="00C24527">
      <w:pPr>
        <w:rPr>
          <w:rFonts w:asciiTheme="minorHAnsi" w:hAnsiTheme="minorHAnsi" w:cstheme="minorHAnsi"/>
          <w:b/>
        </w:rPr>
      </w:pPr>
    </w:p>
    <w:p w14:paraId="595A076F" w14:textId="0C57689A" w:rsidR="00591129" w:rsidRPr="00BD3D62" w:rsidRDefault="00591129" w:rsidP="00C24527">
      <w:pPr>
        <w:widowControl/>
        <w:adjustRightInd w:val="0"/>
        <w:rPr>
          <w:rFonts w:asciiTheme="minorHAnsi" w:eastAsiaTheme="minorHAnsi" w:hAnsiTheme="minorHAnsi" w:cstheme="minorHAnsi"/>
          <w:color w:val="000000"/>
          <w:lang w:val="en-GB" w:bidi="ar-SA"/>
        </w:rPr>
      </w:pPr>
      <w:r w:rsidRPr="00BD3D62">
        <w:rPr>
          <w:rFonts w:asciiTheme="minorHAnsi" w:eastAsiaTheme="minorHAnsi" w:hAnsiTheme="minorHAnsi" w:cstheme="minorHAnsi"/>
          <w:color w:val="000000"/>
          <w:lang w:val="en-GB" w:bidi="ar-SA"/>
        </w:rPr>
        <w:t xml:space="preserve">The duties of the committee shall be to: </w:t>
      </w:r>
    </w:p>
    <w:p w14:paraId="55D41386" w14:textId="77777777" w:rsidR="00C24527" w:rsidRPr="00BD3D62" w:rsidRDefault="00C24527" w:rsidP="00C24527">
      <w:pPr>
        <w:widowControl/>
        <w:adjustRightInd w:val="0"/>
        <w:spacing w:after="92"/>
        <w:rPr>
          <w:rFonts w:asciiTheme="minorHAnsi" w:eastAsiaTheme="minorHAnsi" w:hAnsiTheme="minorHAnsi" w:cstheme="minorHAnsi"/>
          <w:color w:val="000000"/>
          <w:lang w:val="en-GB" w:bidi="ar-SA"/>
        </w:rPr>
      </w:pPr>
    </w:p>
    <w:p w14:paraId="6DDC220F" w14:textId="3BD6A3BA" w:rsidR="00591129" w:rsidRPr="00BD3D62" w:rsidRDefault="00591129" w:rsidP="00C24527">
      <w:pPr>
        <w:widowControl/>
        <w:adjustRightInd w:val="0"/>
        <w:spacing w:after="92"/>
        <w:rPr>
          <w:rFonts w:asciiTheme="minorHAnsi" w:eastAsiaTheme="minorHAnsi" w:hAnsiTheme="minorHAnsi" w:cstheme="minorHAnsi"/>
          <w:color w:val="000000"/>
          <w:lang w:val="en-GB" w:bidi="ar-SA"/>
        </w:rPr>
      </w:pPr>
      <w:r w:rsidRPr="00BD3D62">
        <w:rPr>
          <w:rFonts w:asciiTheme="minorHAnsi" w:eastAsiaTheme="minorHAnsi" w:hAnsiTheme="minorHAnsi" w:cstheme="minorHAnsi"/>
          <w:color w:val="000000"/>
          <w:lang w:val="en-GB" w:bidi="ar-SA"/>
        </w:rPr>
        <w:t>a</w:t>
      </w:r>
      <w:r w:rsidR="001B2D76" w:rsidRPr="00BD3D62">
        <w:rPr>
          <w:rFonts w:asciiTheme="minorHAnsi" w:eastAsiaTheme="minorHAnsi" w:hAnsiTheme="minorHAnsi" w:cstheme="minorHAnsi"/>
          <w:color w:val="000000"/>
          <w:lang w:val="en-GB" w:bidi="ar-SA"/>
        </w:rPr>
        <w:t>). advise</w:t>
      </w:r>
      <w:r w:rsidRPr="00BD3D62">
        <w:rPr>
          <w:rFonts w:asciiTheme="minorHAnsi" w:eastAsiaTheme="minorHAnsi" w:hAnsiTheme="minorHAnsi" w:cstheme="minorHAnsi"/>
          <w:color w:val="000000"/>
          <w:lang w:val="en-GB" w:bidi="ar-SA"/>
        </w:rPr>
        <w:t xml:space="preserve"> the Court on the appointment of the external auditors, the audit fee, </w:t>
      </w:r>
      <w:r w:rsidR="00C24527" w:rsidRPr="00BD3D62">
        <w:rPr>
          <w:rFonts w:asciiTheme="minorHAnsi" w:eastAsiaTheme="minorHAnsi" w:hAnsiTheme="minorHAnsi" w:cstheme="minorHAnsi"/>
          <w:color w:val="000000"/>
          <w:lang w:val="en-GB" w:bidi="ar-SA"/>
        </w:rPr>
        <w:t>the provision</w:t>
      </w:r>
      <w:r w:rsidRPr="00BD3D62">
        <w:rPr>
          <w:rFonts w:asciiTheme="minorHAnsi" w:eastAsiaTheme="minorHAnsi" w:hAnsiTheme="minorHAnsi" w:cstheme="minorHAnsi"/>
          <w:color w:val="000000"/>
          <w:lang w:val="en-GB" w:bidi="ar-SA"/>
        </w:rPr>
        <w:t xml:space="preserve"> of any non-audit services by the external auditors, and any questions </w:t>
      </w:r>
      <w:r w:rsidR="00C24527" w:rsidRPr="00BD3D62">
        <w:rPr>
          <w:rFonts w:asciiTheme="minorHAnsi" w:eastAsiaTheme="minorHAnsi" w:hAnsiTheme="minorHAnsi" w:cstheme="minorHAnsi"/>
          <w:color w:val="000000"/>
          <w:lang w:val="en-GB" w:bidi="ar-SA"/>
        </w:rPr>
        <w:t>of resignation</w:t>
      </w:r>
      <w:r w:rsidRPr="00BD3D62">
        <w:rPr>
          <w:rFonts w:asciiTheme="minorHAnsi" w:eastAsiaTheme="minorHAnsi" w:hAnsiTheme="minorHAnsi" w:cstheme="minorHAnsi"/>
          <w:color w:val="000000"/>
          <w:lang w:val="en-GB" w:bidi="ar-SA"/>
        </w:rPr>
        <w:t xml:space="preserve"> or dismissal of the external auditors</w:t>
      </w:r>
    </w:p>
    <w:p w14:paraId="31139981" w14:textId="0966CDF8" w:rsidR="00591129" w:rsidRPr="00BD3D62" w:rsidRDefault="00591129" w:rsidP="00C24527">
      <w:pPr>
        <w:widowControl/>
        <w:adjustRightInd w:val="0"/>
        <w:spacing w:after="92"/>
        <w:rPr>
          <w:rFonts w:asciiTheme="minorHAnsi" w:eastAsiaTheme="minorHAnsi" w:hAnsiTheme="minorHAnsi" w:cstheme="minorHAnsi"/>
          <w:color w:val="000000"/>
          <w:lang w:val="en-GB" w:bidi="ar-SA"/>
        </w:rPr>
      </w:pPr>
      <w:r w:rsidRPr="00BD3D62">
        <w:rPr>
          <w:rFonts w:asciiTheme="minorHAnsi" w:eastAsiaTheme="minorHAnsi" w:hAnsiTheme="minorHAnsi" w:cstheme="minorHAnsi"/>
          <w:color w:val="000000"/>
          <w:lang w:val="en-GB" w:bidi="ar-SA"/>
        </w:rPr>
        <w:t>b</w:t>
      </w:r>
      <w:r w:rsidR="001B2D76" w:rsidRPr="00BD3D62">
        <w:rPr>
          <w:rFonts w:asciiTheme="minorHAnsi" w:eastAsiaTheme="minorHAnsi" w:hAnsiTheme="minorHAnsi" w:cstheme="minorHAnsi"/>
          <w:color w:val="000000"/>
          <w:lang w:val="en-GB" w:bidi="ar-SA"/>
        </w:rPr>
        <w:t>). discuss</w:t>
      </w:r>
      <w:r w:rsidRPr="00BD3D62">
        <w:rPr>
          <w:rFonts w:asciiTheme="minorHAnsi" w:eastAsiaTheme="minorHAnsi" w:hAnsiTheme="minorHAnsi" w:cstheme="minorHAnsi"/>
          <w:color w:val="000000"/>
          <w:lang w:val="en-GB" w:bidi="ar-SA"/>
        </w:rPr>
        <w:t xml:space="preserve"> with the external auditors, before the audit begins, the nature and scope of </w:t>
      </w:r>
      <w:r w:rsidR="00C24527" w:rsidRPr="00BD3D62">
        <w:rPr>
          <w:rFonts w:asciiTheme="minorHAnsi" w:eastAsiaTheme="minorHAnsi" w:hAnsiTheme="minorHAnsi" w:cstheme="minorHAnsi"/>
          <w:color w:val="000000"/>
          <w:lang w:val="en-GB" w:bidi="ar-SA"/>
        </w:rPr>
        <w:t>the audit</w:t>
      </w:r>
    </w:p>
    <w:p w14:paraId="57F4ADAC" w14:textId="35678A92" w:rsidR="00591129" w:rsidRPr="00BD3D62" w:rsidRDefault="001B2D76" w:rsidP="00C24527">
      <w:pPr>
        <w:widowControl/>
        <w:adjustRightInd w:val="0"/>
        <w:spacing w:after="92"/>
        <w:rPr>
          <w:rFonts w:asciiTheme="minorHAnsi" w:eastAsiaTheme="minorHAnsi" w:hAnsiTheme="minorHAnsi" w:cstheme="minorHAnsi"/>
          <w:color w:val="000000"/>
          <w:lang w:val="en-GB" w:bidi="ar-SA"/>
        </w:rPr>
      </w:pPr>
      <w:r w:rsidRPr="00BD3D62">
        <w:rPr>
          <w:rFonts w:asciiTheme="minorHAnsi" w:eastAsiaTheme="minorHAnsi" w:hAnsiTheme="minorHAnsi" w:cstheme="minorHAnsi"/>
          <w:color w:val="000000"/>
          <w:lang w:val="en-GB" w:bidi="ar-SA"/>
        </w:rPr>
        <w:t>c). discuss</w:t>
      </w:r>
      <w:r w:rsidR="00591129" w:rsidRPr="00BD3D62">
        <w:rPr>
          <w:rFonts w:asciiTheme="minorHAnsi" w:eastAsiaTheme="minorHAnsi" w:hAnsiTheme="minorHAnsi" w:cstheme="minorHAnsi"/>
          <w:color w:val="000000"/>
          <w:lang w:val="en-GB" w:bidi="ar-SA"/>
        </w:rPr>
        <w:t xml:space="preserve"> with the external </w:t>
      </w:r>
      <w:r w:rsidRPr="00BD3D62">
        <w:rPr>
          <w:rFonts w:asciiTheme="minorHAnsi" w:eastAsiaTheme="minorHAnsi" w:hAnsiTheme="minorHAnsi" w:cstheme="minorHAnsi"/>
          <w:color w:val="000000"/>
          <w:lang w:val="en-GB" w:bidi="ar-SA"/>
        </w:rPr>
        <w:t>auditors’</w:t>
      </w:r>
      <w:r w:rsidR="00591129" w:rsidRPr="00BD3D62">
        <w:rPr>
          <w:rFonts w:asciiTheme="minorHAnsi" w:eastAsiaTheme="minorHAnsi" w:hAnsiTheme="minorHAnsi" w:cstheme="minorHAnsi"/>
          <w:color w:val="000000"/>
          <w:lang w:val="en-GB" w:bidi="ar-SA"/>
        </w:rPr>
        <w:t xml:space="preserve"> problems and reservations arising from the </w:t>
      </w:r>
      <w:r w:rsidR="00C24527" w:rsidRPr="00BD3D62">
        <w:rPr>
          <w:rFonts w:asciiTheme="minorHAnsi" w:eastAsiaTheme="minorHAnsi" w:hAnsiTheme="minorHAnsi" w:cstheme="minorHAnsi"/>
          <w:color w:val="000000"/>
          <w:lang w:val="en-GB" w:bidi="ar-SA"/>
        </w:rPr>
        <w:t>interim and</w:t>
      </w:r>
      <w:r w:rsidR="00591129" w:rsidRPr="00BD3D62">
        <w:rPr>
          <w:rFonts w:asciiTheme="minorHAnsi" w:eastAsiaTheme="minorHAnsi" w:hAnsiTheme="minorHAnsi" w:cstheme="minorHAnsi"/>
          <w:color w:val="000000"/>
          <w:lang w:val="en-GB" w:bidi="ar-SA"/>
        </w:rPr>
        <w:t xml:space="preserve"> final audits, including a review of the management letter, </w:t>
      </w:r>
      <w:r w:rsidR="00C24527" w:rsidRPr="00BD3D62">
        <w:rPr>
          <w:rFonts w:asciiTheme="minorHAnsi" w:eastAsiaTheme="minorHAnsi" w:hAnsiTheme="minorHAnsi" w:cstheme="minorHAnsi"/>
          <w:color w:val="000000"/>
          <w:lang w:val="en-GB" w:bidi="ar-SA"/>
        </w:rPr>
        <w:t>incorporating management</w:t>
      </w:r>
      <w:r w:rsidR="00591129" w:rsidRPr="00BD3D62">
        <w:rPr>
          <w:rFonts w:asciiTheme="minorHAnsi" w:eastAsiaTheme="minorHAnsi" w:hAnsiTheme="minorHAnsi" w:cstheme="minorHAnsi"/>
          <w:color w:val="000000"/>
          <w:lang w:val="en-GB" w:bidi="ar-SA"/>
        </w:rPr>
        <w:t xml:space="preserve"> responses, and any other matters the external auditors may wish </w:t>
      </w:r>
      <w:r w:rsidR="00C24527" w:rsidRPr="00BD3D62">
        <w:rPr>
          <w:rFonts w:asciiTheme="minorHAnsi" w:eastAsiaTheme="minorHAnsi" w:hAnsiTheme="minorHAnsi" w:cstheme="minorHAnsi"/>
          <w:color w:val="000000"/>
          <w:lang w:val="en-GB" w:bidi="ar-SA"/>
        </w:rPr>
        <w:t>to discuss</w:t>
      </w:r>
      <w:r w:rsidR="00591129" w:rsidRPr="00BD3D62">
        <w:rPr>
          <w:rFonts w:asciiTheme="minorHAnsi" w:eastAsiaTheme="minorHAnsi" w:hAnsiTheme="minorHAnsi" w:cstheme="minorHAnsi"/>
          <w:color w:val="000000"/>
          <w:lang w:val="en-GB" w:bidi="ar-SA"/>
        </w:rPr>
        <w:t xml:space="preserve"> (in the absence of management where necessary)</w:t>
      </w:r>
    </w:p>
    <w:p w14:paraId="60B78815" w14:textId="092CB1FB" w:rsidR="00591129" w:rsidRPr="00BD3D62" w:rsidRDefault="001B2D76" w:rsidP="00C24527">
      <w:pPr>
        <w:widowControl/>
        <w:adjustRightInd w:val="0"/>
        <w:spacing w:after="92"/>
        <w:rPr>
          <w:rFonts w:asciiTheme="minorHAnsi" w:eastAsiaTheme="minorHAnsi" w:hAnsiTheme="minorHAnsi" w:cstheme="minorHAnsi"/>
          <w:color w:val="000000"/>
          <w:lang w:val="en-GB" w:bidi="ar-SA"/>
        </w:rPr>
      </w:pPr>
      <w:r w:rsidRPr="00BD3D62">
        <w:rPr>
          <w:rFonts w:asciiTheme="minorHAnsi" w:eastAsiaTheme="minorHAnsi" w:hAnsiTheme="minorHAnsi" w:cstheme="minorHAnsi"/>
          <w:color w:val="000000"/>
          <w:lang w:val="en-GB" w:bidi="ar-SA"/>
        </w:rPr>
        <w:t>d). consider</w:t>
      </w:r>
      <w:r w:rsidR="00591129" w:rsidRPr="00BD3D62">
        <w:rPr>
          <w:rFonts w:asciiTheme="minorHAnsi" w:eastAsiaTheme="minorHAnsi" w:hAnsiTheme="minorHAnsi" w:cstheme="minorHAnsi"/>
          <w:color w:val="000000"/>
          <w:lang w:val="en-GB" w:bidi="ar-SA"/>
        </w:rPr>
        <w:t xml:space="preserve"> and advise the Court on the appointment and terms of engagement of </w:t>
      </w:r>
      <w:r w:rsidR="00C24527" w:rsidRPr="00BD3D62">
        <w:rPr>
          <w:rFonts w:asciiTheme="minorHAnsi" w:eastAsiaTheme="minorHAnsi" w:hAnsiTheme="minorHAnsi" w:cstheme="minorHAnsi"/>
          <w:color w:val="000000"/>
          <w:lang w:val="en-GB" w:bidi="ar-SA"/>
        </w:rPr>
        <w:t>the internal</w:t>
      </w:r>
      <w:r w:rsidR="00591129" w:rsidRPr="00BD3D62">
        <w:rPr>
          <w:rFonts w:asciiTheme="minorHAnsi" w:eastAsiaTheme="minorHAnsi" w:hAnsiTheme="minorHAnsi" w:cstheme="minorHAnsi"/>
          <w:color w:val="000000"/>
          <w:lang w:val="en-GB" w:bidi="ar-SA"/>
        </w:rPr>
        <w:t xml:space="preserve"> audit service (and the head of internal audit if applicable), the audit fee, </w:t>
      </w:r>
      <w:r w:rsidR="00C24527" w:rsidRPr="00BD3D62">
        <w:rPr>
          <w:rFonts w:asciiTheme="minorHAnsi" w:eastAsiaTheme="minorHAnsi" w:hAnsiTheme="minorHAnsi" w:cstheme="minorHAnsi"/>
          <w:color w:val="000000"/>
          <w:lang w:val="en-GB" w:bidi="ar-SA"/>
        </w:rPr>
        <w:t>the provision</w:t>
      </w:r>
      <w:r w:rsidR="00591129" w:rsidRPr="00BD3D62">
        <w:rPr>
          <w:rFonts w:asciiTheme="minorHAnsi" w:eastAsiaTheme="minorHAnsi" w:hAnsiTheme="minorHAnsi" w:cstheme="minorHAnsi"/>
          <w:color w:val="000000"/>
          <w:lang w:val="en-GB" w:bidi="ar-SA"/>
        </w:rPr>
        <w:t xml:space="preserve"> of any non-audit services by the internal auditors, and any questions </w:t>
      </w:r>
      <w:r w:rsidR="00C24527" w:rsidRPr="00BD3D62">
        <w:rPr>
          <w:rFonts w:asciiTheme="minorHAnsi" w:eastAsiaTheme="minorHAnsi" w:hAnsiTheme="minorHAnsi" w:cstheme="minorHAnsi"/>
          <w:color w:val="000000"/>
          <w:lang w:val="en-GB" w:bidi="ar-SA"/>
        </w:rPr>
        <w:t>of resignation</w:t>
      </w:r>
      <w:r w:rsidR="00591129" w:rsidRPr="00BD3D62">
        <w:rPr>
          <w:rFonts w:asciiTheme="minorHAnsi" w:eastAsiaTheme="minorHAnsi" w:hAnsiTheme="minorHAnsi" w:cstheme="minorHAnsi"/>
          <w:color w:val="000000"/>
          <w:lang w:val="en-GB" w:bidi="ar-SA"/>
        </w:rPr>
        <w:t xml:space="preserve"> or dismissal of the internal auditors</w:t>
      </w:r>
    </w:p>
    <w:p w14:paraId="7BEC7D58" w14:textId="26BDF029" w:rsidR="00591129" w:rsidRPr="00BD3D62" w:rsidRDefault="00591129" w:rsidP="00C24527">
      <w:pPr>
        <w:widowControl/>
        <w:adjustRightInd w:val="0"/>
        <w:spacing w:after="92"/>
        <w:rPr>
          <w:rFonts w:asciiTheme="minorHAnsi" w:eastAsiaTheme="minorHAnsi" w:hAnsiTheme="minorHAnsi" w:cstheme="minorHAnsi"/>
          <w:color w:val="000000"/>
          <w:lang w:val="en-GB" w:bidi="ar-SA"/>
        </w:rPr>
      </w:pPr>
      <w:r w:rsidRPr="00BD3D62">
        <w:rPr>
          <w:rFonts w:asciiTheme="minorHAnsi" w:eastAsiaTheme="minorHAnsi" w:hAnsiTheme="minorHAnsi" w:cstheme="minorHAnsi"/>
          <w:color w:val="000000"/>
          <w:lang w:val="en-GB" w:bidi="ar-SA"/>
        </w:rPr>
        <w:t>e</w:t>
      </w:r>
      <w:r w:rsidR="001B2D76" w:rsidRPr="00BD3D62">
        <w:rPr>
          <w:rFonts w:asciiTheme="minorHAnsi" w:eastAsiaTheme="minorHAnsi" w:hAnsiTheme="minorHAnsi" w:cstheme="minorHAnsi"/>
          <w:color w:val="000000"/>
          <w:lang w:val="en-GB" w:bidi="ar-SA"/>
        </w:rPr>
        <w:t>). review</w:t>
      </w:r>
      <w:r w:rsidRPr="00BD3D62">
        <w:rPr>
          <w:rFonts w:asciiTheme="minorHAnsi" w:eastAsiaTheme="minorHAnsi" w:hAnsiTheme="minorHAnsi" w:cstheme="minorHAnsi"/>
          <w:color w:val="000000"/>
          <w:lang w:val="en-GB" w:bidi="ar-SA"/>
        </w:rPr>
        <w:t xml:space="preserve"> the internal auditors’ audit risk assessment, strategy and programme; </w:t>
      </w:r>
      <w:r w:rsidR="00C24527" w:rsidRPr="00BD3D62">
        <w:rPr>
          <w:rFonts w:asciiTheme="minorHAnsi" w:eastAsiaTheme="minorHAnsi" w:hAnsiTheme="minorHAnsi" w:cstheme="minorHAnsi"/>
          <w:color w:val="000000"/>
          <w:lang w:val="en-GB" w:bidi="ar-SA"/>
        </w:rPr>
        <w:t>consider major</w:t>
      </w:r>
      <w:r w:rsidRPr="00BD3D62">
        <w:rPr>
          <w:rFonts w:asciiTheme="minorHAnsi" w:eastAsiaTheme="minorHAnsi" w:hAnsiTheme="minorHAnsi" w:cstheme="minorHAnsi"/>
          <w:color w:val="000000"/>
          <w:lang w:val="en-GB" w:bidi="ar-SA"/>
        </w:rPr>
        <w:t xml:space="preserve"> findings of internal audit investigations and management’s response; </w:t>
      </w:r>
      <w:r w:rsidR="00C24527" w:rsidRPr="00BD3D62">
        <w:rPr>
          <w:rFonts w:asciiTheme="minorHAnsi" w:eastAsiaTheme="minorHAnsi" w:hAnsiTheme="minorHAnsi" w:cstheme="minorHAnsi"/>
          <w:color w:val="000000"/>
          <w:lang w:val="en-GB" w:bidi="ar-SA"/>
        </w:rPr>
        <w:t>and promote</w:t>
      </w:r>
      <w:r w:rsidRPr="00BD3D62">
        <w:rPr>
          <w:rFonts w:asciiTheme="minorHAnsi" w:eastAsiaTheme="minorHAnsi" w:hAnsiTheme="minorHAnsi" w:cstheme="minorHAnsi"/>
          <w:color w:val="000000"/>
          <w:lang w:val="en-GB" w:bidi="ar-SA"/>
        </w:rPr>
        <w:t xml:space="preserve"> co-ordination </w:t>
      </w:r>
      <w:r w:rsidRPr="00BD3D62">
        <w:rPr>
          <w:rFonts w:asciiTheme="minorHAnsi" w:eastAsiaTheme="minorHAnsi" w:hAnsiTheme="minorHAnsi" w:cstheme="minorHAnsi"/>
          <w:color w:val="000000"/>
          <w:lang w:val="en-GB" w:bidi="ar-SA"/>
        </w:rPr>
        <w:lastRenderedPageBreak/>
        <w:t xml:space="preserve">between the internal and external auditors. The committee </w:t>
      </w:r>
      <w:r w:rsidR="00C24527" w:rsidRPr="00BD3D62">
        <w:rPr>
          <w:rFonts w:asciiTheme="minorHAnsi" w:eastAsiaTheme="minorHAnsi" w:hAnsiTheme="minorHAnsi" w:cstheme="minorHAnsi"/>
          <w:color w:val="000000"/>
          <w:lang w:val="en-GB" w:bidi="ar-SA"/>
        </w:rPr>
        <w:t>will seek</w:t>
      </w:r>
      <w:r w:rsidRPr="00BD3D62">
        <w:rPr>
          <w:rFonts w:asciiTheme="minorHAnsi" w:eastAsiaTheme="minorHAnsi" w:hAnsiTheme="minorHAnsi" w:cstheme="minorHAnsi"/>
          <w:color w:val="000000"/>
          <w:lang w:val="en-GB" w:bidi="ar-SA"/>
        </w:rPr>
        <w:t xml:space="preserve"> to ensure that the resources made available for internal audit are sufficient </w:t>
      </w:r>
      <w:r w:rsidR="00C24527" w:rsidRPr="00BD3D62">
        <w:rPr>
          <w:rFonts w:asciiTheme="minorHAnsi" w:eastAsiaTheme="minorHAnsi" w:hAnsiTheme="minorHAnsi" w:cstheme="minorHAnsi"/>
          <w:color w:val="000000"/>
          <w:lang w:val="en-GB" w:bidi="ar-SA"/>
        </w:rPr>
        <w:t>to meet</w:t>
      </w:r>
      <w:r w:rsidRPr="00BD3D62">
        <w:rPr>
          <w:rFonts w:asciiTheme="minorHAnsi" w:eastAsiaTheme="minorHAnsi" w:hAnsiTheme="minorHAnsi" w:cstheme="minorHAnsi"/>
          <w:color w:val="000000"/>
          <w:lang w:val="en-GB" w:bidi="ar-SA"/>
        </w:rPr>
        <w:t xml:space="preserve"> the institution’s needs (or make a recommendation to the Court as appropriate)</w:t>
      </w:r>
    </w:p>
    <w:p w14:paraId="3A919281" w14:textId="0CE7DE6B" w:rsidR="00591129" w:rsidRPr="00BD3D62" w:rsidRDefault="00591129" w:rsidP="00C24527">
      <w:pPr>
        <w:widowControl/>
        <w:adjustRightInd w:val="0"/>
        <w:spacing w:after="92"/>
        <w:rPr>
          <w:rFonts w:asciiTheme="minorHAnsi" w:eastAsiaTheme="minorHAnsi" w:hAnsiTheme="minorHAnsi" w:cstheme="minorHAnsi"/>
          <w:color w:val="000000"/>
          <w:lang w:val="en-GB" w:bidi="ar-SA"/>
        </w:rPr>
      </w:pPr>
      <w:r w:rsidRPr="00BD3D62">
        <w:rPr>
          <w:rFonts w:asciiTheme="minorHAnsi" w:eastAsiaTheme="minorHAnsi" w:hAnsiTheme="minorHAnsi" w:cstheme="minorHAnsi"/>
          <w:color w:val="000000"/>
          <w:lang w:val="en-GB" w:bidi="ar-SA"/>
        </w:rPr>
        <w:t>f</w:t>
      </w:r>
      <w:r w:rsidR="001B2D76" w:rsidRPr="00BD3D62">
        <w:rPr>
          <w:rFonts w:asciiTheme="minorHAnsi" w:eastAsiaTheme="minorHAnsi" w:hAnsiTheme="minorHAnsi" w:cstheme="minorHAnsi"/>
          <w:color w:val="000000"/>
          <w:lang w:val="en-GB" w:bidi="ar-SA"/>
        </w:rPr>
        <w:t>). keep</w:t>
      </w:r>
      <w:r w:rsidRPr="00BD3D62">
        <w:rPr>
          <w:rFonts w:asciiTheme="minorHAnsi" w:eastAsiaTheme="minorHAnsi" w:hAnsiTheme="minorHAnsi" w:cstheme="minorHAnsi"/>
          <w:color w:val="000000"/>
          <w:lang w:val="en-GB" w:bidi="ar-SA"/>
        </w:rPr>
        <w:t xml:space="preserve"> under review the effectiveness of the risk management, control and </w:t>
      </w:r>
      <w:r w:rsidR="00C24527" w:rsidRPr="00BD3D62">
        <w:rPr>
          <w:rFonts w:asciiTheme="minorHAnsi" w:eastAsiaTheme="minorHAnsi" w:hAnsiTheme="minorHAnsi" w:cstheme="minorHAnsi"/>
          <w:color w:val="000000"/>
          <w:lang w:val="en-GB" w:bidi="ar-SA"/>
        </w:rPr>
        <w:t>governance arrangements</w:t>
      </w:r>
      <w:r w:rsidRPr="00BD3D62">
        <w:rPr>
          <w:rFonts w:asciiTheme="minorHAnsi" w:eastAsiaTheme="minorHAnsi" w:hAnsiTheme="minorHAnsi" w:cstheme="minorHAnsi"/>
          <w:color w:val="000000"/>
          <w:lang w:val="en-GB" w:bidi="ar-SA"/>
        </w:rPr>
        <w:t xml:space="preserve">, and in particular review the external auditors’ management letter, </w:t>
      </w:r>
      <w:r w:rsidR="00C24527" w:rsidRPr="00BD3D62">
        <w:rPr>
          <w:rFonts w:asciiTheme="minorHAnsi" w:eastAsiaTheme="minorHAnsi" w:hAnsiTheme="minorHAnsi" w:cstheme="minorHAnsi"/>
          <w:color w:val="000000"/>
          <w:lang w:val="en-GB" w:bidi="ar-SA"/>
        </w:rPr>
        <w:t>the internal</w:t>
      </w:r>
      <w:r w:rsidRPr="00BD3D62">
        <w:rPr>
          <w:rFonts w:asciiTheme="minorHAnsi" w:eastAsiaTheme="minorHAnsi" w:hAnsiTheme="minorHAnsi" w:cstheme="minorHAnsi"/>
          <w:color w:val="000000"/>
          <w:lang w:val="en-GB" w:bidi="ar-SA"/>
        </w:rPr>
        <w:t xml:space="preserve"> auditors’ annual report, and management responses</w:t>
      </w:r>
    </w:p>
    <w:p w14:paraId="7DAE2A50" w14:textId="33EE2CF6" w:rsidR="00591129" w:rsidRPr="00BD3D62" w:rsidRDefault="00591129" w:rsidP="00C24527">
      <w:pPr>
        <w:widowControl/>
        <w:adjustRightInd w:val="0"/>
        <w:spacing w:after="92"/>
        <w:rPr>
          <w:rFonts w:asciiTheme="minorHAnsi" w:eastAsiaTheme="minorHAnsi" w:hAnsiTheme="minorHAnsi" w:cstheme="minorHAnsi"/>
          <w:color w:val="000000"/>
          <w:lang w:val="en-GB" w:bidi="ar-SA"/>
        </w:rPr>
      </w:pPr>
      <w:r w:rsidRPr="00BD3D62">
        <w:rPr>
          <w:rFonts w:asciiTheme="minorHAnsi" w:eastAsiaTheme="minorHAnsi" w:hAnsiTheme="minorHAnsi" w:cstheme="minorHAnsi"/>
          <w:color w:val="000000"/>
          <w:lang w:val="en-GB" w:bidi="ar-SA"/>
        </w:rPr>
        <w:t>g</w:t>
      </w:r>
      <w:r w:rsidR="001B2D76" w:rsidRPr="00BD3D62">
        <w:rPr>
          <w:rFonts w:asciiTheme="minorHAnsi" w:eastAsiaTheme="minorHAnsi" w:hAnsiTheme="minorHAnsi" w:cstheme="minorHAnsi"/>
          <w:color w:val="000000"/>
          <w:lang w:val="en-GB" w:bidi="ar-SA"/>
        </w:rPr>
        <w:t>). monitor</w:t>
      </w:r>
      <w:r w:rsidRPr="00BD3D62">
        <w:rPr>
          <w:rFonts w:asciiTheme="minorHAnsi" w:eastAsiaTheme="minorHAnsi" w:hAnsiTheme="minorHAnsi" w:cstheme="minorHAnsi"/>
          <w:color w:val="000000"/>
          <w:lang w:val="en-GB" w:bidi="ar-SA"/>
        </w:rPr>
        <w:t xml:space="preserve"> the implementation of agreed audit-based recommendations, from </w:t>
      </w:r>
      <w:r w:rsidR="00C24527" w:rsidRPr="00BD3D62">
        <w:rPr>
          <w:rFonts w:asciiTheme="minorHAnsi" w:eastAsiaTheme="minorHAnsi" w:hAnsiTheme="minorHAnsi" w:cstheme="minorHAnsi"/>
          <w:color w:val="000000"/>
          <w:lang w:val="en-GB" w:bidi="ar-SA"/>
        </w:rPr>
        <w:t>whatever source</w:t>
      </w:r>
    </w:p>
    <w:p w14:paraId="1D9A3BE5" w14:textId="46D4B168" w:rsidR="00591129" w:rsidRPr="00BD3D62" w:rsidRDefault="00591129" w:rsidP="00C24527">
      <w:pPr>
        <w:widowControl/>
        <w:adjustRightInd w:val="0"/>
        <w:spacing w:after="92"/>
        <w:rPr>
          <w:rFonts w:asciiTheme="minorHAnsi" w:eastAsiaTheme="minorHAnsi" w:hAnsiTheme="minorHAnsi" w:cstheme="minorHAnsi"/>
          <w:color w:val="000000"/>
          <w:lang w:val="en-GB" w:bidi="ar-SA"/>
        </w:rPr>
      </w:pPr>
      <w:r w:rsidRPr="00BD3D62">
        <w:rPr>
          <w:rFonts w:asciiTheme="minorHAnsi" w:eastAsiaTheme="minorHAnsi" w:hAnsiTheme="minorHAnsi" w:cstheme="minorHAnsi"/>
          <w:color w:val="000000"/>
          <w:lang w:val="en-GB" w:bidi="ar-SA"/>
        </w:rPr>
        <w:t>h</w:t>
      </w:r>
      <w:r w:rsidR="001B2D76" w:rsidRPr="00BD3D62">
        <w:rPr>
          <w:rFonts w:asciiTheme="minorHAnsi" w:eastAsiaTheme="minorHAnsi" w:hAnsiTheme="minorHAnsi" w:cstheme="minorHAnsi"/>
          <w:color w:val="000000"/>
          <w:lang w:val="en-GB" w:bidi="ar-SA"/>
        </w:rPr>
        <w:t>). ensure</w:t>
      </w:r>
      <w:r w:rsidRPr="00BD3D62">
        <w:rPr>
          <w:rFonts w:asciiTheme="minorHAnsi" w:eastAsiaTheme="minorHAnsi" w:hAnsiTheme="minorHAnsi" w:cstheme="minorHAnsi"/>
          <w:color w:val="000000"/>
          <w:lang w:val="en-GB" w:bidi="ar-SA"/>
        </w:rPr>
        <w:t xml:space="preserve"> that all material losses have been properly investigated and that the </w:t>
      </w:r>
      <w:r w:rsidR="00C24527" w:rsidRPr="00BD3D62">
        <w:rPr>
          <w:rFonts w:asciiTheme="minorHAnsi" w:eastAsiaTheme="minorHAnsi" w:hAnsiTheme="minorHAnsi" w:cstheme="minorHAnsi"/>
          <w:color w:val="000000"/>
          <w:lang w:val="en-GB" w:bidi="ar-SA"/>
        </w:rPr>
        <w:t>internal and</w:t>
      </w:r>
      <w:r w:rsidRPr="00BD3D62">
        <w:rPr>
          <w:rFonts w:asciiTheme="minorHAnsi" w:eastAsiaTheme="minorHAnsi" w:hAnsiTheme="minorHAnsi" w:cstheme="minorHAnsi"/>
          <w:color w:val="000000"/>
          <w:lang w:val="en-GB" w:bidi="ar-SA"/>
        </w:rPr>
        <w:t xml:space="preserve"> external auditors, and where appropriate the funding council’s accounting </w:t>
      </w:r>
      <w:r w:rsidR="00C24527" w:rsidRPr="00BD3D62">
        <w:rPr>
          <w:rFonts w:asciiTheme="minorHAnsi" w:eastAsiaTheme="minorHAnsi" w:hAnsiTheme="minorHAnsi" w:cstheme="minorHAnsi"/>
          <w:color w:val="000000"/>
          <w:lang w:val="en-GB" w:bidi="ar-SA"/>
        </w:rPr>
        <w:t>officer, have</w:t>
      </w:r>
      <w:r w:rsidRPr="00BD3D62">
        <w:rPr>
          <w:rFonts w:asciiTheme="minorHAnsi" w:eastAsiaTheme="minorHAnsi" w:hAnsiTheme="minorHAnsi" w:cstheme="minorHAnsi"/>
          <w:color w:val="000000"/>
          <w:lang w:val="en-GB" w:bidi="ar-SA"/>
        </w:rPr>
        <w:t xml:space="preserve"> been informed</w:t>
      </w:r>
    </w:p>
    <w:p w14:paraId="40F88B58" w14:textId="34BE50FB" w:rsidR="00591129" w:rsidRPr="00BD3D62" w:rsidRDefault="001B2D76" w:rsidP="00C24527">
      <w:pPr>
        <w:widowControl/>
        <w:adjustRightInd w:val="0"/>
        <w:spacing w:after="92"/>
        <w:rPr>
          <w:rFonts w:asciiTheme="minorHAnsi" w:eastAsiaTheme="minorHAnsi" w:hAnsiTheme="minorHAnsi" w:cstheme="minorHAnsi"/>
          <w:color w:val="000000"/>
          <w:lang w:val="en-GB" w:bidi="ar-SA"/>
        </w:rPr>
      </w:pPr>
      <w:r w:rsidRPr="00BD3D62">
        <w:rPr>
          <w:rFonts w:asciiTheme="minorHAnsi" w:eastAsiaTheme="minorHAnsi" w:hAnsiTheme="minorHAnsi" w:cstheme="minorHAnsi"/>
          <w:color w:val="000000"/>
          <w:lang w:val="en-GB" w:bidi="ar-SA"/>
        </w:rPr>
        <w:t>i). oversee</w:t>
      </w:r>
      <w:r w:rsidR="00591129" w:rsidRPr="00BD3D62">
        <w:rPr>
          <w:rFonts w:asciiTheme="minorHAnsi" w:eastAsiaTheme="minorHAnsi" w:hAnsiTheme="minorHAnsi" w:cstheme="minorHAnsi"/>
          <w:color w:val="000000"/>
          <w:lang w:val="en-GB" w:bidi="ar-SA"/>
        </w:rPr>
        <w:t xml:space="preserve"> the institution’s policy on fraud and irregularity, including being notified of </w:t>
      </w:r>
      <w:r w:rsidR="00C24527" w:rsidRPr="00BD3D62">
        <w:rPr>
          <w:rFonts w:asciiTheme="minorHAnsi" w:eastAsiaTheme="minorHAnsi" w:hAnsiTheme="minorHAnsi" w:cstheme="minorHAnsi"/>
          <w:color w:val="000000"/>
          <w:lang w:val="en-GB" w:bidi="ar-SA"/>
        </w:rPr>
        <w:t>any action</w:t>
      </w:r>
      <w:r w:rsidR="00591129" w:rsidRPr="00BD3D62">
        <w:rPr>
          <w:rFonts w:asciiTheme="minorHAnsi" w:eastAsiaTheme="minorHAnsi" w:hAnsiTheme="minorHAnsi" w:cstheme="minorHAnsi"/>
          <w:color w:val="000000"/>
          <w:lang w:val="en-GB" w:bidi="ar-SA"/>
        </w:rPr>
        <w:t xml:space="preserve"> taken under that policy</w:t>
      </w:r>
    </w:p>
    <w:p w14:paraId="24B7FC7E" w14:textId="4793153E" w:rsidR="00591129" w:rsidRDefault="00591129" w:rsidP="00303265">
      <w:pPr>
        <w:widowControl/>
        <w:adjustRightInd w:val="0"/>
        <w:rPr>
          <w:rFonts w:asciiTheme="minorHAnsi" w:eastAsiaTheme="minorHAnsi" w:hAnsiTheme="minorHAnsi" w:cstheme="minorHAnsi"/>
          <w:color w:val="000000"/>
          <w:lang w:val="en-GB" w:bidi="ar-SA"/>
        </w:rPr>
      </w:pPr>
      <w:r w:rsidRPr="00BD3D62">
        <w:rPr>
          <w:rFonts w:asciiTheme="minorHAnsi" w:eastAsiaTheme="minorHAnsi" w:hAnsiTheme="minorHAnsi" w:cstheme="minorHAnsi"/>
          <w:color w:val="000000"/>
          <w:lang w:val="en-GB" w:bidi="ar-SA"/>
        </w:rPr>
        <w:t>j</w:t>
      </w:r>
      <w:r w:rsidR="001B2D76" w:rsidRPr="00BD3D62">
        <w:rPr>
          <w:rFonts w:asciiTheme="minorHAnsi" w:eastAsiaTheme="minorHAnsi" w:hAnsiTheme="minorHAnsi" w:cstheme="minorHAnsi"/>
          <w:color w:val="000000"/>
          <w:lang w:val="en-GB" w:bidi="ar-SA"/>
        </w:rPr>
        <w:t>). satisfy</w:t>
      </w:r>
      <w:r w:rsidRPr="00BD3D62">
        <w:rPr>
          <w:rFonts w:asciiTheme="minorHAnsi" w:eastAsiaTheme="minorHAnsi" w:hAnsiTheme="minorHAnsi" w:cstheme="minorHAnsi"/>
          <w:color w:val="000000"/>
          <w:lang w:val="en-GB" w:bidi="ar-SA"/>
        </w:rPr>
        <w:t xml:space="preserve"> itself that suitable arrangements are in place to promote economy, </w:t>
      </w:r>
      <w:r w:rsidR="00C24527" w:rsidRPr="00BD3D62">
        <w:rPr>
          <w:rFonts w:asciiTheme="minorHAnsi" w:eastAsiaTheme="minorHAnsi" w:hAnsiTheme="minorHAnsi" w:cstheme="minorHAnsi"/>
          <w:color w:val="000000"/>
          <w:lang w:val="en-GB" w:bidi="ar-SA"/>
        </w:rPr>
        <w:t>efficiency and</w:t>
      </w:r>
      <w:r w:rsidRPr="00BD3D62">
        <w:rPr>
          <w:rFonts w:asciiTheme="minorHAnsi" w:eastAsiaTheme="minorHAnsi" w:hAnsiTheme="minorHAnsi" w:cstheme="minorHAnsi"/>
          <w:color w:val="000000"/>
          <w:lang w:val="en-GB" w:bidi="ar-SA"/>
        </w:rPr>
        <w:t xml:space="preserve"> effectiveness </w:t>
      </w:r>
    </w:p>
    <w:p w14:paraId="026BE8AC" w14:textId="77777777" w:rsidR="00272ABB" w:rsidRPr="00BD3D62" w:rsidRDefault="00272ABB" w:rsidP="00272ABB">
      <w:pPr>
        <w:rPr>
          <w:rFonts w:asciiTheme="minorHAnsi" w:hAnsiTheme="minorHAnsi" w:cstheme="minorHAnsi"/>
          <w:bCs/>
        </w:rPr>
      </w:pPr>
    </w:p>
    <w:p w14:paraId="6F834A69" w14:textId="77777777" w:rsidR="00303265" w:rsidRPr="00303265" w:rsidRDefault="00272ABB" w:rsidP="00EA31D6">
      <w:pPr>
        <w:pStyle w:val="Default"/>
        <w:rPr>
          <w:rFonts w:asciiTheme="minorHAnsi" w:hAnsiTheme="minorHAnsi" w:cstheme="minorHAnsi"/>
        </w:rPr>
      </w:pPr>
      <w:r w:rsidRPr="00303265">
        <w:rPr>
          <w:rFonts w:asciiTheme="minorHAnsi" w:hAnsiTheme="minorHAnsi" w:cstheme="minorHAnsi"/>
          <w:b/>
        </w:rPr>
        <w:t>6</w:t>
      </w:r>
      <w:r w:rsidRPr="00303265">
        <w:rPr>
          <w:rFonts w:asciiTheme="minorHAnsi" w:hAnsiTheme="minorHAnsi" w:cstheme="minorHAnsi"/>
          <w:bCs/>
        </w:rPr>
        <w:t>.</w:t>
      </w:r>
      <w:r w:rsidR="00FF2569" w:rsidRPr="00303265">
        <w:rPr>
          <w:rFonts w:asciiTheme="minorHAnsi" w:hAnsiTheme="minorHAnsi" w:cstheme="minorHAnsi"/>
          <w:b/>
        </w:rPr>
        <w:t>Quorum</w:t>
      </w:r>
      <w:r w:rsidR="00EA31D6" w:rsidRPr="00303265">
        <w:rPr>
          <w:rFonts w:asciiTheme="minorHAnsi" w:hAnsiTheme="minorHAnsi" w:cstheme="minorHAnsi"/>
        </w:rPr>
        <w:t xml:space="preserve"> </w:t>
      </w:r>
    </w:p>
    <w:p w14:paraId="5CD27333" w14:textId="0D5D3FDE" w:rsidR="005757C4" w:rsidRPr="00303265" w:rsidRDefault="00EA31D6" w:rsidP="00303265">
      <w:pPr>
        <w:pStyle w:val="Default"/>
      </w:pPr>
      <w:r w:rsidRPr="00BD3D62">
        <w:rPr>
          <w:rFonts w:asciiTheme="minorHAnsi" w:hAnsiTheme="minorHAnsi" w:cstheme="minorHAnsi"/>
          <w:sz w:val="22"/>
          <w:szCs w:val="22"/>
        </w:rPr>
        <w:t>The quorum for all meetings of the committee shall be one third of its membership.</w:t>
      </w:r>
    </w:p>
    <w:p w14:paraId="025CC7CC" w14:textId="77777777" w:rsidR="00FF2569" w:rsidRPr="00BD3D62" w:rsidRDefault="00FF2569" w:rsidP="00FF2569">
      <w:pPr>
        <w:rPr>
          <w:rFonts w:asciiTheme="minorHAnsi" w:hAnsiTheme="minorHAnsi" w:cstheme="minorHAnsi"/>
          <w:bCs/>
        </w:rPr>
      </w:pPr>
    </w:p>
    <w:p w14:paraId="7942A24D" w14:textId="0626BC29" w:rsidR="00BD3D62" w:rsidRPr="00BD3D62" w:rsidRDefault="00272ABB" w:rsidP="00BD3D62">
      <w:pPr>
        <w:pStyle w:val="Default"/>
        <w:rPr>
          <w:rFonts w:asciiTheme="minorHAnsi" w:hAnsiTheme="minorHAnsi" w:cstheme="minorHAnsi"/>
          <w:sz w:val="22"/>
          <w:szCs w:val="22"/>
        </w:rPr>
      </w:pPr>
      <w:r w:rsidRPr="00BD3D62">
        <w:rPr>
          <w:rFonts w:asciiTheme="minorHAnsi" w:hAnsiTheme="minorHAnsi" w:cstheme="minorHAnsi"/>
          <w:b/>
          <w:sz w:val="22"/>
          <w:szCs w:val="22"/>
        </w:rPr>
        <w:t>7.</w:t>
      </w:r>
      <w:r w:rsidR="00465F11" w:rsidRPr="00BD3D62">
        <w:rPr>
          <w:rFonts w:asciiTheme="minorHAnsi" w:hAnsiTheme="minorHAnsi" w:cstheme="minorHAnsi"/>
          <w:b/>
          <w:sz w:val="22"/>
          <w:szCs w:val="22"/>
        </w:rPr>
        <w:t>Reporting</w:t>
      </w:r>
      <w:r w:rsidR="00BD3D62" w:rsidRPr="00BD3D62">
        <w:rPr>
          <w:rFonts w:asciiTheme="minorHAnsi" w:hAnsiTheme="minorHAnsi" w:cstheme="minorHAnsi"/>
          <w:sz w:val="22"/>
          <w:szCs w:val="22"/>
        </w:rPr>
        <w:t xml:space="preserve"> </w:t>
      </w:r>
    </w:p>
    <w:p w14:paraId="170D2785" w14:textId="77777777" w:rsidR="00BD3D62" w:rsidRPr="00BD3D62" w:rsidRDefault="00BD3D62" w:rsidP="00BD3D62">
      <w:pPr>
        <w:pStyle w:val="Default"/>
        <w:rPr>
          <w:rFonts w:asciiTheme="minorHAnsi" w:hAnsiTheme="minorHAnsi" w:cstheme="minorHAnsi"/>
          <w:sz w:val="22"/>
          <w:szCs w:val="22"/>
        </w:rPr>
      </w:pPr>
    </w:p>
    <w:p w14:paraId="5650EA0B" w14:textId="51D1D0C3" w:rsidR="00BD3D62" w:rsidRPr="00BD3D62" w:rsidRDefault="00BD3D62" w:rsidP="00BD3D62">
      <w:pPr>
        <w:pStyle w:val="Default"/>
        <w:rPr>
          <w:rFonts w:asciiTheme="minorHAnsi" w:hAnsiTheme="minorHAnsi" w:cstheme="minorHAnsi"/>
          <w:sz w:val="22"/>
          <w:szCs w:val="22"/>
        </w:rPr>
      </w:pPr>
      <w:r w:rsidRPr="00BD3D62">
        <w:rPr>
          <w:rFonts w:asciiTheme="minorHAnsi" w:hAnsiTheme="minorHAnsi" w:cstheme="minorHAnsi"/>
          <w:sz w:val="22"/>
          <w:szCs w:val="22"/>
        </w:rPr>
        <w:t xml:space="preserve">The minutes (or a report) of meetings of the audit committee will be circulated to all members of the Court. </w:t>
      </w:r>
    </w:p>
    <w:p w14:paraId="792F87C0" w14:textId="0794F170" w:rsidR="00BD3D62" w:rsidRDefault="00BD3D62" w:rsidP="00BD3D62">
      <w:pPr>
        <w:widowControl/>
        <w:adjustRightInd w:val="0"/>
        <w:rPr>
          <w:rFonts w:asciiTheme="minorHAnsi" w:eastAsiaTheme="minorHAnsi" w:hAnsiTheme="minorHAnsi" w:cstheme="minorHAnsi"/>
          <w:color w:val="000000"/>
          <w:lang w:val="en-GB" w:bidi="ar-SA"/>
        </w:rPr>
      </w:pPr>
      <w:r w:rsidRPr="00BD3D62">
        <w:rPr>
          <w:rFonts w:asciiTheme="minorHAnsi" w:eastAsiaTheme="minorHAnsi" w:hAnsiTheme="minorHAnsi" w:cstheme="minorHAnsi"/>
          <w:color w:val="000000"/>
          <w:lang w:val="en-GB" w:bidi="ar-SA"/>
        </w:rPr>
        <w:t xml:space="preserve">The committee will prepare an annual report covering the institution’s financial year and any significant issues up to the date of preparing the report. The report will be addressed to the governing body and head of institution and will summarise the activity for the year. It will give the committee’s opinion of the adequacy and effectiveness of the institution’s arrangements for the following: </w:t>
      </w:r>
    </w:p>
    <w:p w14:paraId="77FF0125" w14:textId="77777777" w:rsidR="00BD3D62" w:rsidRPr="00BD3D62" w:rsidRDefault="00BD3D62" w:rsidP="00BD3D62">
      <w:pPr>
        <w:widowControl/>
        <w:adjustRightInd w:val="0"/>
        <w:rPr>
          <w:rFonts w:asciiTheme="minorHAnsi" w:eastAsiaTheme="minorHAnsi" w:hAnsiTheme="minorHAnsi" w:cstheme="minorHAnsi"/>
          <w:color w:val="000000"/>
          <w:lang w:val="en-GB" w:bidi="ar-SA"/>
        </w:rPr>
      </w:pPr>
    </w:p>
    <w:p w14:paraId="2F77D633" w14:textId="688FDE2B" w:rsidR="00BD3D62" w:rsidRPr="007067B2" w:rsidRDefault="007067B2" w:rsidP="007067B2">
      <w:pPr>
        <w:pStyle w:val="ListParagraph"/>
        <w:widowControl/>
        <w:numPr>
          <w:ilvl w:val="0"/>
          <w:numId w:val="5"/>
        </w:numPr>
        <w:adjustRightInd w:val="0"/>
        <w:spacing w:after="109"/>
        <w:rPr>
          <w:rFonts w:asciiTheme="minorHAnsi" w:eastAsiaTheme="minorHAnsi" w:hAnsiTheme="minorHAnsi" w:cstheme="minorHAnsi"/>
          <w:color w:val="000000"/>
          <w:lang w:val="en-GB" w:bidi="ar-SA"/>
        </w:rPr>
      </w:pPr>
      <w:r>
        <w:rPr>
          <w:rFonts w:asciiTheme="minorHAnsi" w:eastAsiaTheme="minorHAnsi" w:hAnsiTheme="minorHAnsi" w:cstheme="minorHAnsi"/>
          <w:color w:val="000000"/>
          <w:lang w:val="en-GB" w:bidi="ar-SA"/>
        </w:rPr>
        <w:t xml:space="preserve">Risk </w:t>
      </w:r>
      <w:r w:rsidR="00BD3D62" w:rsidRPr="007067B2">
        <w:rPr>
          <w:rFonts w:asciiTheme="minorHAnsi" w:eastAsiaTheme="minorHAnsi" w:hAnsiTheme="minorHAnsi" w:cstheme="minorHAnsi"/>
          <w:color w:val="000000"/>
          <w:lang w:val="en-GB" w:bidi="ar-SA"/>
        </w:rPr>
        <w:t>management, control, and governance (the risk management element includes the accuracy of the statement of internal control included with the annual statement of accounts)</w:t>
      </w:r>
    </w:p>
    <w:p w14:paraId="23612956" w14:textId="724B0430" w:rsidR="00BD3D62" w:rsidRPr="007067B2" w:rsidRDefault="00BD3D62" w:rsidP="007067B2">
      <w:pPr>
        <w:pStyle w:val="ListParagraph"/>
        <w:widowControl/>
        <w:numPr>
          <w:ilvl w:val="0"/>
          <w:numId w:val="5"/>
        </w:numPr>
        <w:adjustRightInd w:val="0"/>
        <w:rPr>
          <w:rFonts w:asciiTheme="minorHAnsi" w:eastAsiaTheme="minorHAnsi" w:hAnsiTheme="minorHAnsi" w:cstheme="minorHAnsi"/>
          <w:color w:val="000000"/>
          <w:lang w:val="en-GB" w:bidi="ar-SA"/>
        </w:rPr>
      </w:pPr>
      <w:r w:rsidRPr="007067B2">
        <w:rPr>
          <w:rFonts w:asciiTheme="minorHAnsi" w:eastAsiaTheme="minorHAnsi" w:hAnsiTheme="minorHAnsi" w:cstheme="minorHAnsi"/>
          <w:color w:val="000000"/>
          <w:lang w:val="en-GB" w:bidi="ar-SA"/>
        </w:rPr>
        <w:t>economy, efficiency, and effectiveness (value for money).</w:t>
      </w:r>
    </w:p>
    <w:p w14:paraId="617B94AB" w14:textId="77777777" w:rsidR="00BD3D62" w:rsidRPr="00BD3D62" w:rsidRDefault="00BD3D62" w:rsidP="00BD3D62">
      <w:pPr>
        <w:widowControl/>
        <w:adjustRightInd w:val="0"/>
        <w:rPr>
          <w:rFonts w:asciiTheme="minorHAnsi" w:eastAsiaTheme="minorHAnsi" w:hAnsiTheme="minorHAnsi" w:cstheme="minorHAnsi"/>
          <w:color w:val="000000"/>
          <w:lang w:val="en-GB" w:bidi="ar-SA"/>
        </w:rPr>
      </w:pPr>
    </w:p>
    <w:p w14:paraId="5D034873" w14:textId="77777777" w:rsidR="00BD3D62" w:rsidRPr="00BD3D62" w:rsidRDefault="00BD3D62" w:rsidP="00BD3D62">
      <w:pPr>
        <w:widowControl/>
        <w:adjustRightInd w:val="0"/>
        <w:rPr>
          <w:rFonts w:asciiTheme="minorHAnsi" w:eastAsiaTheme="minorHAnsi" w:hAnsiTheme="minorHAnsi" w:cstheme="minorHAnsi"/>
          <w:color w:val="000000"/>
          <w:lang w:val="en-GB" w:bidi="ar-SA"/>
        </w:rPr>
      </w:pPr>
      <w:r w:rsidRPr="00BD3D62">
        <w:rPr>
          <w:rFonts w:asciiTheme="minorHAnsi" w:eastAsiaTheme="minorHAnsi" w:hAnsiTheme="minorHAnsi" w:cstheme="minorHAnsi"/>
          <w:color w:val="000000"/>
          <w:lang w:val="en-GB" w:bidi="ar-SA"/>
        </w:rPr>
        <w:t xml:space="preserve">This opinion should be based on the information presented to the committee. The audit committee annual report should normally be submitted to the Court before the members’ responsibility statement in the annual financial statements is signed. </w:t>
      </w:r>
    </w:p>
    <w:p w14:paraId="7D0D60C1" w14:textId="10E966C0" w:rsidR="002F69C2" w:rsidRPr="00BD3D62" w:rsidRDefault="00BD3D62" w:rsidP="00BD3D62">
      <w:pPr>
        <w:rPr>
          <w:rFonts w:asciiTheme="minorHAnsi" w:hAnsiTheme="minorHAnsi" w:cstheme="minorHAnsi"/>
          <w:b/>
        </w:rPr>
      </w:pPr>
      <w:r w:rsidRPr="00BD3D62">
        <w:rPr>
          <w:rFonts w:asciiTheme="minorHAnsi" w:eastAsiaTheme="minorHAnsi" w:hAnsiTheme="minorHAnsi" w:cstheme="minorHAnsi"/>
          <w:color w:val="000000"/>
          <w:lang w:val="en-GB" w:bidi="ar-SA"/>
        </w:rPr>
        <w:t>The secretary to the audit committee will be the Secretary to the governing body (or another appropriate independent individual).</w:t>
      </w:r>
    </w:p>
    <w:p w14:paraId="0A0BBFAB" w14:textId="7FC4B0D3" w:rsidR="00303265" w:rsidRDefault="00303265">
      <w:pPr>
        <w:pStyle w:val="BodyText"/>
        <w:ind w:left="0"/>
        <w:rPr>
          <w:rFonts w:asciiTheme="minorHAnsi" w:hAnsiTheme="minorHAnsi" w:cstheme="minorHAnsi"/>
        </w:rPr>
      </w:pPr>
    </w:p>
    <w:p w14:paraId="37C08736" w14:textId="77777777" w:rsidR="00303265" w:rsidRPr="00BD3D62" w:rsidRDefault="00303265">
      <w:pPr>
        <w:pStyle w:val="BodyText"/>
        <w:ind w:left="0"/>
        <w:rPr>
          <w:rFonts w:asciiTheme="minorHAnsi" w:hAnsiTheme="minorHAnsi" w:cstheme="minorHAnsi"/>
        </w:rPr>
      </w:pPr>
    </w:p>
    <w:p w14:paraId="221043CA" w14:textId="77777777" w:rsidR="007038B8" w:rsidRPr="00BD3D62" w:rsidRDefault="007038B8">
      <w:pPr>
        <w:pStyle w:val="BodyText"/>
        <w:ind w:left="0"/>
        <w:rPr>
          <w:rFonts w:asciiTheme="minorHAnsi" w:hAnsiTheme="minorHAnsi" w:cstheme="minorHAnsi"/>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5"/>
        <w:gridCol w:w="4263"/>
      </w:tblGrid>
      <w:tr w:rsidR="005757C4" w:rsidRPr="00BD3D62" w14:paraId="10D80589" w14:textId="77777777" w:rsidTr="3BC2E28B">
        <w:trPr>
          <w:trHeight w:val="457"/>
        </w:trPr>
        <w:tc>
          <w:tcPr>
            <w:tcW w:w="4265" w:type="dxa"/>
          </w:tcPr>
          <w:p w14:paraId="4FED913E" w14:textId="0EBCF0C1" w:rsidR="005757C4" w:rsidRPr="00BD3D62" w:rsidRDefault="005757C4">
            <w:pPr>
              <w:pStyle w:val="TableParagraph"/>
              <w:ind w:left="5" w:right="76"/>
              <w:rPr>
                <w:rFonts w:asciiTheme="minorHAnsi" w:hAnsiTheme="minorHAnsi" w:cstheme="minorHAnsi"/>
              </w:rPr>
            </w:pPr>
            <w:r w:rsidRPr="00BD3D62">
              <w:rPr>
                <w:rFonts w:asciiTheme="minorHAnsi" w:hAnsiTheme="minorHAnsi" w:cstheme="minorHAnsi"/>
              </w:rPr>
              <w:t>Last updated:</w:t>
            </w:r>
          </w:p>
        </w:tc>
        <w:tc>
          <w:tcPr>
            <w:tcW w:w="4263" w:type="dxa"/>
          </w:tcPr>
          <w:p w14:paraId="67E9D688" w14:textId="550B17B2" w:rsidR="005757C4" w:rsidRPr="00BD3D62" w:rsidRDefault="00087B67" w:rsidP="5B8D0D48">
            <w:pPr>
              <w:pStyle w:val="TableParagraph"/>
              <w:ind w:left="0"/>
              <w:rPr>
                <w:rFonts w:asciiTheme="minorHAnsi" w:hAnsiTheme="minorHAnsi" w:cstheme="minorBidi"/>
              </w:rPr>
            </w:pPr>
            <w:r w:rsidRPr="3BC2E28B">
              <w:rPr>
                <w:rFonts w:asciiTheme="minorHAnsi" w:hAnsiTheme="minorHAnsi" w:cstheme="minorBidi"/>
              </w:rPr>
              <w:t xml:space="preserve"> </w:t>
            </w:r>
            <w:r w:rsidR="00B84F78">
              <w:rPr>
                <w:rFonts w:asciiTheme="minorHAnsi" w:hAnsiTheme="minorHAnsi" w:cstheme="minorBidi"/>
              </w:rPr>
              <w:t>2 March</w:t>
            </w:r>
            <w:r w:rsidR="1B4D08CC" w:rsidRPr="3BC2E28B">
              <w:rPr>
                <w:rFonts w:asciiTheme="minorHAnsi" w:hAnsiTheme="minorHAnsi" w:cstheme="minorBidi"/>
              </w:rPr>
              <w:t xml:space="preserve"> </w:t>
            </w:r>
            <w:r w:rsidRPr="3BC2E28B">
              <w:rPr>
                <w:rFonts w:asciiTheme="minorHAnsi" w:hAnsiTheme="minorHAnsi" w:cstheme="minorBidi"/>
              </w:rPr>
              <w:t>202</w:t>
            </w:r>
            <w:r w:rsidR="00B84F78">
              <w:rPr>
                <w:rFonts w:asciiTheme="minorHAnsi" w:hAnsiTheme="minorHAnsi" w:cstheme="minorBidi"/>
              </w:rPr>
              <w:t>3</w:t>
            </w:r>
          </w:p>
        </w:tc>
      </w:tr>
      <w:tr w:rsidR="002F69C2" w:rsidRPr="00BD3D62" w14:paraId="53CDDE66" w14:textId="77777777" w:rsidTr="3BC2E28B">
        <w:trPr>
          <w:trHeight w:val="457"/>
        </w:trPr>
        <w:tc>
          <w:tcPr>
            <w:tcW w:w="4265" w:type="dxa"/>
          </w:tcPr>
          <w:p w14:paraId="38A7F6DD" w14:textId="016CDF07" w:rsidR="002F69C2" w:rsidRPr="00BD3D62" w:rsidRDefault="005757C4">
            <w:pPr>
              <w:pStyle w:val="TableParagraph"/>
              <w:ind w:left="5" w:right="76"/>
              <w:rPr>
                <w:rFonts w:asciiTheme="minorHAnsi" w:hAnsiTheme="minorHAnsi" w:cstheme="minorHAnsi"/>
              </w:rPr>
            </w:pPr>
            <w:r w:rsidRPr="00BD3D62">
              <w:rPr>
                <w:rFonts w:asciiTheme="minorHAnsi" w:hAnsiTheme="minorHAnsi" w:cstheme="minorHAnsi"/>
              </w:rPr>
              <w:t xml:space="preserve">Last </w:t>
            </w:r>
            <w:r w:rsidR="00465F11" w:rsidRPr="00BD3D62">
              <w:rPr>
                <w:rFonts w:asciiTheme="minorHAnsi" w:hAnsiTheme="minorHAnsi" w:cstheme="minorHAnsi"/>
              </w:rPr>
              <w:t>Reviewed and agreed by the Committee</w:t>
            </w:r>
            <w:r w:rsidRPr="00BD3D62">
              <w:rPr>
                <w:rFonts w:asciiTheme="minorHAnsi" w:hAnsiTheme="minorHAnsi" w:cstheme="minorHAnsi"/>
              </w:rPr>
              <w:t>:</w:t>
            </w:r>
          </w:p>
        </w:tc>
        <w:tc>
          <w:tcPr>
            <w:tcW w:w="4263" w:type="dxa"/>
          </w:tcPr>
          <w:p w14:paraId="1EB65454" w14:textId="77777777" w:rsidR="002F69C2" w:rsidRPr="00BD3D62" w:rsidRDefault="002F69C2">
            <w:pPr>
              <w:pStyle w:val="TableParagraph"/>
              <w:ind w:left="0"/>
              <w:rPr>
                <w:rFonts w:asciiTheme="minorHAnsi" w:hAnsiTheme="minorHAnsi" w:cstheme="minorHAnsi"/>
              </w:rPr>
            </w:pPr>
          </w:p>
        </w:tc>
      </w:tr>
      <w:tr w:rsidR="002F69C2" w:rsidRPr="00BD3D62" w14:paraId="44C34DF8" w14:textId="77777777" w:rsidTr="3BC2E28B">
        <w:trPr>
          <w:trHeight w:val="421"/>
        </w:trPr>
        <w:tc>
          <w:tcPr>
            <w:tcW w:w="4265" w:type="dxa"/>
          </w:tcPr>
          <w:p w14:paraId="1BD9DEA0" w14:textId="48B4CAE3" w:rsidR="002F69C2" w:rsidRPr="00BD3D62" w:rsidRDefault="00465F11">
            <w:pPr>
              <w:pStyle w:val="TableParagraph"/>
              <w:ind w:left="5"/>
              <w:rPr>
                <w:rFonts w:asciiTheme="minorHAnsi" w:hAnsiTheme="minorHAnsi" w:cstheme="minorHAnsi"/>
              </w:rPr>
            </w:pPr>
            <w:r w:rsidRPr="00BD3D62">
              <w:rPr>
                <w:rFonts w:asciiTheme="minorHAnsi" w:hAnsiTheme="minorHAnsi" w:cstheme="minorHAnsi"/>
              </w:rPr>
              <w:t>Approved by Court</w:t>
            </w:r>
            <w:r w:rsidR="005757C4" w:rsidRPr="00BD3D62">
              <w:rPr>
                <w:rFonts w:asciiTheme="minorHAnsi" w:hAnsiTheme="minorHAnsi" w:cstheme="minorHAnsi"/>
              </w:rPr>
              <w:t>:</w:t>
            </w:r>
          </w:p>
        </w:tc>
        <w:tc>
          <w:tcPr>
            <w:tcW w:w="4263" w:type="dxa"/>
          </w:tcPr>
          <w:p w14:paraId="103E655D" w14:textId="493E9C44" w:rsidR="002F69C2" w:rsidRPr="00BD3D62" w:rsidRDefault="00E61361">
            <w:pPr>
              <w:pStyle w:val="TableParagraph"/>
              <w:ind w:left="0"/>
              <w:rPr>
                <w:rFonts w:asciiTheme="minorHAnsi" w:hAnsiTheme="minorHAnsi" w:cstheme="minorHAnsi"/>
              </w:rPr>
            </w:pPr>
            <w:r>
              <w:rPr>
                <w:rFonts w:asciiTheme="minorHAnsi" w:hAnsiTheme="minorHAnsi" w:cstheme="minorHAnsi"/>
              </w:rPr>
              <w:t xml:space="preserve"> </w:t>
            </w:r>
            <w:r w:rsidRPr="00E61361">
              <w:rPr>
                <w:rFonts w:asciiTheme="minorHAnsi" w:hAnsiTheme="minorHAnsi" w:cstheme="minorHAnsi"/>
              </w:rPr>
              <w:t xml:space="preserve">New membership approved by Court </w:t>
            </w:r>
            <w:r w:rsidR="00C1608D" w:rsidRPr="00E61361">
              <w:rPr>
                <w:rFonts w:asciiTheme="minorHAnsi" w:hAnsiTheme="minorHAnsi" w:cstheme="minorHAnsi"/>
              </w:rPr>
              <w:t xml:space="preserve">March </w:t>
            </w:r>
            <w:r w:rsidR="00C1608D">
              <w:rPr>
                <w:rFonts w:asciiTheme="minorHAnsi" w:hAnsiTheme="minorHAnsi" w:cstheme="minorHAnsi"/>
              </w:rPr>
              <w:t>2020</w:t>
            </w:r>
            <w:r w:rsidRPr="00E61361">
              <w:rPr>
                <w:rFonts w:asciiTheme="minorHAnsi" w:hAnsiTheme="minorHAnsi" w:cstheme="minorHAnsi"/>
              </w:rPr>
              <w:t>. This version updated August 2020. New chair approved by Nom Com 08/20</w:t>
            </w:r>
            <w:r w:rsidR="00F64DF5">
              <w:rPr>
                <w:rFonts w:asciiTheme="minorHAnsi" w:hAnsiTheme="minorHAnsi" w:cstheme="minorHAnsi"/>
              </w:rPr>
              <w:t>.</w:t>
            </w:r>
          </w:p>
        </w:tc>
      </w:tr>
    </w:tbl>
    <w:p w14:paraId="1392EAE1" w14:textId="556F03F4" w:rsidR="005757C4" w:rsidRPr="00BD3D62" w:rsidRDefault="005757C4">
      <w:pPr>
        <w:rPr>
          <w:rFonts w:asciiTheme="minorHAnsi" w:hAnsiTheme="minorHAnsi" w:cstheme="minorHAnsi"/>
        </w:rPr>
      </w:pPr>
    </w:p>
    <w:p w14:paraId="1EF780BC" w14:textId="77777777" w:rsidR="005757C4" w:rsidRDefault="005757C4">
      <w:r w:rsidRPr="00BD3D62">
        <w:rPr>
          <w:rFonts w:asciiTheme="minorHAnsi" w:hAnsiTheme="minorHAnsi" w:cstheme="minorHAnsi"/>
        </w:rPr>
        <w:br w:type="page"/>
      </w:r>
    </w:p>
    <w:p w14:paraId="18125EA7" w14:textId="17CCDCFC" w:rsidR="005757C4" w:rsidRDefault="005757C4" w:rsidP="005757C4">
      <w:pPr>
        <w:pStyle w:val="Heading1"/>
        <w:rPr>
          <w:sz w:val="24"/>
          <w:szCs w:val="24"/>
        </w:rPr>
      </w:pPr>
      <w:r w:rsidRPr="007038B8">
        <w:rPr>
          <w:sz w:val="24"/>
          <w:szCs w:val="24"/>
        </w:rPr>
        <w:lastRenderedPageBreak/>
        <w:t>Membership</w:t>
      </w:r>
    </w:p>
    <w:p w14:paraId="29466EF0" w14:textId="77777777" w:rsidR="007038B8" w:rsidRPr="007038B8" w:rsidRDefault="007038B8" w:rsidP="005757C4">
      <w:pPr>
        <w:pStyle w:val="Heading1"/>
        <w:rPr>
          <w:sz w:val="24"/>
          <w:szCs w:val="24"/>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49"/>
        <w:gridCol w:w="4551"/>
      </w:tblGrid>
      <w:tr w:rsidR="005757C4" w14:paraId="3015176D" w14:textId="77777777" w:rsidTr="631585C8">
        <w:trPr>
          <w:trHeight w:val="390"/>
        </w:trPr>
        <w:tc>
          <w:tcPr>
            <w:tcW w:w="4249" w:type="dxa"/>
          </w:tcPr>
          <w:p w14:paraId="13C5E28B" w14:textId="4DCF0C55" w:rsidR="005757C4" w:rsidRDefault="005757C4" w:rsidP="006338ED">
            <w:pPr>
              <w:pStyle w:val="TableParagraph"/>
            </w:pPr>
            <w:r>
              <w:t>Chair</w:t>
            </w:r>
          </w:p>
        </w:tc>
        <w:tc>
          <w:tcPr>
            <w:tcW w:w="4551" w:type="dxa"/>
          </w:tcPr>
          <w:p w14:paraId="2990B8FA" w14:textId="1D217301" w:rsidR="005757C4" w:rsidRDefault="35B882FF" w:rsidP="006338ED">
            <w:pPr>
              <w:pStyle w:val="TableParagraph"/>
            </w:pPr>
            <w:r>
              <w:t>Murray Easton</w:t>
            </w:r>
          </w:p>
        </w:tc>
      </w:tr>
      <w:tr w:rsidR="005757C4" w14:paraId="454A1BB6" w14:textId="77777777" w:rsidTr="631585C8">
        <w:trPr>
          <w:trHeight w:val="390"/>
        </w:trPr>
        <w:tc>
          <w:tcPr>
            <w:tcW w:w="8800" w:type="dxa"/>
            <w:gridSpan w:val="2"/>
          </w:tcPr>
          <w:p w14:paraId="34308AD0" w14:textId="77777777" w:rsidR="005757C4" w:rsidRDefault="005757C4" w:rsidP="006338ED">
            <w:pPr>
              <w:pStyle w:val="TableParagraph"/>
              <w:rPr>
                <w:b/>
              </w:rPr>
            </w:pPr>
            <w:r>
              <w:rPr>
                <w:b/>
              </w:rPr>
              <w:t>Members</w:t>
            </w:r>
          </w:p>
        </w:tc>
      </w:tr>
      <w:tr w:rsidR="005757C4" w14:paraId="1124805E" w14:textId="77777777" w:rsidTr="631585C8">
        <w:trPr>
          <w:trHeight w:val="388"/>
        </w:trPr>
        <w:tc>
          <w:tcPr>
            <w:tcW w:w="4249" w:type="dxa"/>
          </w:tcPr>
          <w:p w14:paraId="13C77C98" w14:textId="3C93B07E" w:rsidR="005757C4" w:rsidRDefault="00A83489" w:rsidP="006338ED">
            <w:pPr>
              <w:pStyle w:val="TableParagraph"/>
            </w:pPr>
            <w:r>
              <w:t xml:space="preserve">Independent Member </w:t>
            </w:r>
          </w:p>
        </w:tc>
        <w:tc>
          <w:tcPr>
            <w:tcW w:w="4551" w:type="dxa"/>
          </w:tcPr>
          <w:p w14:paraId="6703A02B" w14:textId="5019F431" w:rsidR="005757C4" w:rsidRDefault="5E95914F" w:rsidP="006338ED">
            <w:pPr>
              <w:pStyle w:val="TableParagraph"/>
            </w:pPr>
            <w:r>
              <w:t>Vacancy</w:t>
            </w:r>
          </w:p>
        </w:tc>
      </w:tr>
      <w:tr w:rsidR="005757C4" w14:paraId="5244ED7A" w14:textId="77777777" w:rsidTr="631585C8">
        <w:trPr>
          <w:trHeight w:val="387"/>
        </w:trPr>
        <w:tc>
          <w:tcPr>
            <w:tcW w:w="4249" w:type="dxa"/>
          </w:tcPr>
          <w:p w14:paraId="405D5B75" w14:textId="0FE3AE34" w:rsidR="005757C4" w:rsidRDefault="00A83489" w:rsidP="006338ED">
            <w:pPr>
              <w:pStyle w:val="TableParagraph"/>
            </w:pPr>
            <w:r>
              <w:t xml:space="preserve">Independent Member </w:t>
            </w:r>
          </w:p>
        </w:tc>
        <w:tc>
          <w:tcPr>
            <w:tcW w:w="4551" w:type="dxa"/>
          </w:tcPr>
          <w:p w14:paraId="588A7204" w14:textId="5E13B4C3" w:rsidR="005757C4" w:rsidRDefault="00A83489" w:rsidP="006338ED">
            <w:pPr>
              <w:pStyle w:val="TableParagraph"/>
            </w:pPr>
            <w:r>
              <w:t>Sinead Urquhart</w:t>
            </w:r>
          </w:p>
        </w:tc>
      </w:tr>
      <w:tr w:rsidR="000A5F8D" w14:paraId="002071DD" w14:textId="77777777" w:rsidTr="631585C8">
        <w:trPr>
          <w:trHeight w:val="388"/>
        </w:trPr>
        <w:tc>
          <w:tcPr>
            <w:tcW w:w="4249" w:type="dxa"/>
          </w:tcPr>
          <w:p w14:paraId="79BA0FF5" w14:textId="18E00DBD" w:rsidR="000A5F8D" w:rsidRDefault="001C1C01" w:rsidP="006338ED">
            <w:pPr>
              <w:pStyle w:val="TableParagraph"/>
            </w:pPr>
            <w:r>
              <w:t>Independent Member</w:t>
            </w:r>
          </w:p>
        </w:tc>
        <w:tc>
          <w:tcPr>
            <w:tcW w:w="4551" w:type="dxa"/>
          </w:tcPr>
          <w:p w14:paraId="7203354B" w14:textId="345FA0FF" w:rsidR="000A5F8D" w:rsidRDefault="001C1C01" w:rsidP="006338ED">
            <w:pPr>
              <w:pStyle w:val="TableParagraph"/>
            </w:pPr>
            <w:r>
              <w:t>Malcolm Burr</w:t>
            </w:r>
          </w:p>
        </w:tc>
      </w:tr>
      <w:tr w:rsidR="000A5F8D" w14:paraId="35CBD391" w14:textId="77777777" w:rsidTr="631585C8">
        <w:trPr>
          <w:trHeight w:val="388"/>
        </w:trPr>
        <w:tc>
          <w:tcPr>
            <w:tcW w:w="4249" w:type="dxa"/>
          </w:tcPr>
          <w:p w14:paraId="1A946210" w14:textId="024F5410" w:rsidR="000A5F8D" w:rsidRDefault="322456BE" w:rsidP="006338ED">
            <w:pPr>
              <w:pStyle w:val="TableParagraph"/>
            </w:pPr>
            <w:r>
              <w:t>University Court Member</w:t>
            </w:r>
          </w:p>
        </w:tc>
        <w:tc>
          <w:tcPr>
            <w:tcW w:w="4551" w:type="dxa"/>
          </w:tcPr>
          <w:p w14:paraId="4982B0F7" w14:textId="31AC0458" w:rsidR="000A5F8D" w:rsidRDefault="322456BE" w:rsidP="3BC2E28B">
            <w:pPr>
              <w:pStyle w:val="TableParagraph"/>
              <w:ind w:left="0"/>
            </w:pPr>
            <w:r>
              <w:t xml:space="preserve">  Andrea Robertson</w:t>
            </w:r>
          </w:p>
        </w:tc>
      </w:tr>
      <w:tr w:rsidR="005757C4" w14:paraId="3DD595E1" w14:textId="77777777" w:rsidTr="631585C8">
        <w:trPr>
          <w:trHeight w:val="346"/>
        </w:trPr>
        <w:tc>
          <w:tcPr>
            <w:tcW w:w="4249" w:type="dxa"/>
          </w:tcPr>
          <w:p w14:paraId="6E2BDDA1" w14:textId="77777777" w:rsidR="005757C4" w:rsidRDefault="005757C4" w:rsidP="006338ED">
            <w:pPr>
              <w:pStyle w:val="TableParagraph"/>
            </w:pPr>
          </w:p>
        </w:tc>
        <w:tc>
          <w:tcPr>
            <w:tcW w:w="4551" w:type="dxa"/>
          </w:tcPr>
          <w:p w14:paraId="23E25B4E" w14:textId="77777777" w:rsidR="005757C4" w:rsidRDefault="005757C4" w:rsidP="006338ED">
            <w:pPr>
              <w:pStyle w:val="TableParagraph"/>
            </w:pPr>
          </w:p>
        </w:tc>
      </w:tr>
      <w:tr w:rsidR="005757C4" w14:paraId="25DA6E2C" w14:textId="77777777" w:rsidTr="631585C8">
        <w:trPr>
          <w:trHeight w:val="385"/>
        </w:trPr>
        <w:tc>
          <w:tcPr>
            <w:tcW w:w="8800" w:type="dxa"/>
            <w:gridSpan w:val="2"/>
          </w:tcPr>
          <w:p w14:paraId="555E8328" w14:textId="77777777" w:rsidR="005757C4" w:rsidRDefault="005757C4" w:rsidP="006338ED">
            <w:pPr>
              <w:pStyle w:val="TableParagraph"/>
              <w:spacing w:line="266" w:lineRule="exact"/>
              <w:rPr>
                <w:b/>
              </w:rPr>
            </w:pPr>
            <w:r>
              <w:rPr>
                <w:b/>
              </w:rPr>
              <w:t>In attendance</w:t>
            </w:r>
          </w:p>
        </w:tc>
      </w:tr>
      <w:tr w:rsidR="00284EFE" w14:paraId="162B73B7" w14:textId="77777777" w:rsidTr="631585C8">
        <w:trPr>
          <w:trHeight w:val="390"/>
        </w:trPr>
        <w:tc>
          <w:tcPr>
            <w:tcW w:w="4249" w:type="dxa"/>
          </w:tcPr>
          <w:p w14:paraId="78C7557D" w14:textId="5282055D" w:rsidR="00284EFE" w:rsidRDefault="542D0D40" w:rsidP="00284EFE">
            <w:pPr>
              <w:pStyle w:val="TableParagraph"/>
            </w:pPr>
            <w:r>
              <w:t xml:space="preserve">Interim </w:t>
            </w:r>
            <w:r w:rsidR="00284EFE">
              <w:t>Principal and Vice-Chancellor</w:t>
            </w:r>
          </w:p>
        </w:tc>
        <w:tc>
          <w:tcPr>
            <w:tcW w:w="4551" w:type="dxa"/>
          </w:tcPr>
          <w:p w14:paraId="1227A682" w14:textId="3CD1FBCA" w:rsidR="00284EFE" w:rsidRDefault="3116BBBC" w:rsidP="00284EFE">
            <w:pPr>
              <w:pStyle w:val="TableParagraph"/>
            </w:pPr>
            <w:r>
              <w:t>Vicki Nairn</w:t>
            </w:r>
          </w:p>
        </w:tc>
      </w:tr>
      <w:tr w:rsidR="00284EFE" w14:paraId="44FB9D36" w14:textId="77777777" w:rsidTr="631585C8">
        <w:trPr>
          <w:trHeight w:val="390"/>
        </w:trPr>
        <w:tc>
          <w:tcPr>
            <w:tcW w:w="4249" w:type="dxa"/>
          </w:tcPr>
          <w:p w14:paraId="47C16341" w14:textId="3E1152D8" w:rsidR="00284EFE" w:rsidRDefault="00284EFE" w:rsidP="00284EFE">
            <w:pPr>
              <w:pStyle w:val="TableParagraph"/>
            </w:pPr>
            <w:r>
              <w:t>Chair of Court</w:t>
            </w:r>
          </w:p>
        </w:tc>
        <w:tc>
          <w:tcPr>
            <w:tcW w:w="4551" w:type="dxa"/>
          </w:tcPr>
          <w:p w14:paraId="61098336" w14:textId="7B440E80" w:rsidR="00284EFE" w:rsidRDefault="00284EFE" w:rsidP="00284EFE">
            <w:pPr>
              <w:pStyle w:val="TableParagraph"/>
            </w:pPr>
            <w:r>
              <w:t>Alastair MacColl</w:t>
            </w:r>
          </w:p>
        </w:tc>
      </w:tr>
      <w:tr w:rsidR="00284EFE" w14:paraId="37B4160D" w14:textId="77777777" w:rsidTr="631585C8">
        <w:trPr>
          <w:trHeight w:val="387"/>
        </w:trPr>
        <w:tc>
          <w:tcPr>
            <w:tcW w:w="4249" w:type="dxa"/>
          </w:tcPr>
          <w:p w14:paraId="03CAFE5B" w14:textId="0BF494A7" w:rsidR="00284EFE" w:rsidRDefault="00284EFE" w:rsidP="00284EFE">
            <w:pPr>
              <w:pStyle w:val="TableParagraph"/>
            </w:pPr>
            <w:r>
              <w:t>Head of Internal Audit</w:t>
            </w:r>
          </w:p>
        </w:tc>
        <w:tc>
          <w:tcPr>
            <w:tcW w:w="4551" w:type="dxa"/>
          </w:tcPr>
          <w:p w14:paraId="1D8CA574" w14:textId="2DC9E11C" w:rsidR="00284EFE" w:rsidRDefault="00284EFE" w:rsidP="00284EFE">
            <w:pPr>
              <w:pStyle w:val="TableParagraph"/>
            </w:pPr>
            <w:r>
              <w:t>Jason Thurlbeck</w:t>
            </w:r>
          </w:p>
        </w:tc>
      </w:tr>
      <w:tr w:rsidR="00284EFE" w14:paraId="157F5675" w14:textId="77777777" w:rsidTr="631585C8">
        <w:trPr>
          <w:trHeight w:val="387"/>
        </w:trPr>
        <w:tc>
          <w:tcPr>
            <w:tcW w:w="4249" w:type="dxa"/>
          </w:tcPr>
          <w:p w14:paraId="12BED26F" w14:textId="13B03977" w:rsidR="00284EFE" w:rsidRDefault="00284EFE" w:rsidP="00284EFE">
            <w:pPr>
              <w:pStyle w:val="TableParagraph"/>
            </w:pPr>
            <w:r>
              <w:t>University Secretary</w:t>
            </w:r>
          </w:p>
        </w:tc>
        <w:tc>
          <w:tcPr>
            <w:tcW w:w="4551" w:type="dxa"/>
          </w:tcPr>
          <w:p w14:paraId="3D9B9A68" w14:textId="4C5B8760" w:rsidR="00284EFE" w:rsidRDefault="00284EFE" w:rsidP="00284EFE">
            <w:pPr>
              <w:pStyle w:val="TableParagraph"/>
            </w:pPr>
            <w:r>
              <w:t>Sheena Stewart</w:t>
            </w:r>
          </w:p>
        </w:tc>
      </w:tr>
      <w:tr w:rsidR="00284EFE" w14:paraId="425FD1ED" w14:textId="77777777" w:rsidTr="631585C8">
        <w:trPr>
          <w:trHeight w:val="387"/>
        </w:trPr>
        <w:tc>
          <w:tcPr>
            <w:tcW w:w="4249" w:type="dxa"/>
          </w:tcPr>
          <w:p w14:paraId="514D0F6F" w14:textId="0E59C58A" w:rsidR="00284EFE" w:rsidRDefault="00284EFE" w:rsidP="00284EFE">
            <w:pPr>
              <w:pStyle w:val="TableParagraph"/>
            </w:pPr>
            <w:r>
              <w:t>Director of Corporate Governance &amp; Records Management</w:t>
            </w:r>
          </w:p>
        </w:tc>
        <w:tc>
          <w:tcPr>
            <w:tcW w:w="4551" w:type="dxa"/>
          </w:tcPr>
          <w:p w14:paraId="1456008D" w14:textId="2801654B" w:rsidR="00284EFE" w:rsidRDefault="00284EFE" w:rsidP="00284EFE">
            <w:pPr>
              <w:pStyle w:val="TableParagraph"/>
            </w:pPr>
            <w:r>
              <w:t>Roger Sendall</w:t>
            </w:r>
          </w:p>
        </w:tc>
      </w:tr>
      <w:tr w:rsidR="00284EFE" w14:paraId="4012E420" w14:textId="77777777" w:rsidTr="631585C8">
        <w:trPr>
          <w:trHeight w:val="387"/>
        </w:trPr>
        <w:tc>
          <w:tcPr>
            <w:tcW w:w="4249" w:type="dxa"/>
          </w:tcPr>
          <w:p w14:paraId="3402AFCA" w14:textId="427BCF28" w:rsidR="00284EFE" w:rsidRDefault="00284EFE" w:rsidP="00284EFE">
            <w:pPr>
              <w:pStyle w:val="TableParagraph"/>
            </w:pPr>
            <w:r>
              <w:t>Director of Finance</w:t>
            </w:r>
          </w:p>
        </w:tc>
        <w:tc>
          <w:tcPr>
            <w:tcW w:w="4551" w:type="dxa"/>
          </w:tcPr>
          <w:p w14:paraId="661EA0FD" w14:textId="2C199A8D" w:rsidR="00284EFE" w:rsidRDefault="00284EFE" w:rsidP="00284EFE">
            <w:pPr>
              <w:pStyle w:val="TableParagraph"/>
            </w:pPr>
            <w:r>
              <w:t>Niall McArthur</w:t>
            </w:r>
          </w:p>
        </w:tc>
      </w:tr>
      <w:tr w:rsidR="00284EFE" w14:paraId="4490AD7E" w14:textId="77777777" w:rsidTr="631585C8">
        <w:trPr>
          <w:trHeight w:val="388"/>
        </w:trPr>
        <w:tc>
          <w:tcPr>
            <w:tcW w:w="4249" w:type="dxa"/>
          </w:tcPr>
          <w:p w14:paraId="512495B4" w14:textId="5E7C7450" w:rsidR="00284EFE" w:rsidRDefault="00284EFE" w:rsidP="00284EFE">
            <w:pPr>
              <w:pStyle w:val="TableParagraph"/>
            </w:pPr>
            <w:r>
              <w:t xml:space="preserve">Internal Auditor (Henderson Loggie) </w:t>
            </w:r>
          </w:p>
        </w:tc>
        <w:tc>
          <w:tcPr>
            <w:tcW w:w="4551" w:type="dxa"/>
          </w:tcPr>
          <w:p w14:paraId="038FF402" w14:textId="342C408C" w:rsidR="00284EFE" w:rsidRDefault="00284EFE" w:rsidP="00284EFE">
            <w:pPr>
              <w:pStyle w:val="TableParagraph"/>
            </w:pPr>
            <w:r>
              <w:t xml:space="preserve">Stuart Inglis </w:t>
            </w:r>
          </w:p>
        </w:tc>
      </w:tr>
      <w:tr w:rsidR="00284EFE" w14:paraId="0D1BE9D6" w14:textId="77777777" w:rsidTr="631585C8">
        <w:trPr>
          <w:trHeight w:val="387"/>
        </w:trPr>
        <w:tc>
          <w:tcPr>
            <w:tcW w:w="4249" w:type="dxa"/>
          </w:tcPr>
          <w:p w14:paraId="7D5CA086" w14:textId="341C3D38" w:rsidR="00284EFE" w:rsidRDefault="00284EFE" w:rsidP="00284EFE">
            <w:pPr>
              <w:pStyle w:val="TableParagraph"/>
            </w:pPr>
            <w:r>
              <w:t>Internal Auditor (Henderson Loggie)</w:t>
            </w:r>
          </w:p>
        </w:tc>
        <w:tc>
          <w:tcPr>
            <w:tcW w:w="4551" w:type="dxa"/>
          </w:tcPr>
          <w:p w14:paraId="65872824" w14:textId="005A5D7E" w:rsidR="00284EFE" w:rsidRDefault="00284EFE" w:rsidP="00284EFE">
            <w:pPr>
              <w:pStyle w:val="TableParagraph"/>
            </w:pPr>
            <w:r>
              <w:t>David Archibald</w:t>
            </w:r>
          </w:p>
        </w:tc>
      </w:tr>
      <w:tr w:rsidR="00284EFE" w14:paraId="43BAB4AE" w14:textId="77777777" w:rsidTr="631585C8">
        <w:trPr>
          <w:trHeight w:val="388"/>
        </w:trPr>
        <w:tc>
          <w:tcPr>
            <w:tcW w:w="4249" w:type="dxa"/>
          </w:tcPr>
          <w:p w14:paraId="02E67AC8" w14:textId="093EF048" w:rsidR="00284EFE" w:rsidRDefault="00284EFE" w:rsidP="00284EFE">
            <w:pPr>
              <w:pStyle w:val="TableParagraph"/>
            </w:pPr>
            <w:r>
              <w:t>External Auditor (Armstrong Watson)</w:t>
            </w:r>
          </w:p>
        </w:tc>
        <w:tc>
          <w:tcPr>
            <w:tcW w:w="4551" w:type="dxa"/>
          </w:tcPr>
          <w:p w14:paraId="5F00FB6F" w14:textId="304F4EE4" w:rsidR="00284EFE" w:rsidRDefault="00284EFE" w:rsidP="00284EFE">
            <w:pPr>
              <w:pStyle w:val="TableParagraph"/>
            </w:pPr>
            <w:r>
              <w:t>Martin Johnston</w:t>
            </w:r>
          </w:p>
        </w:tc>
      </w:tr>
      <w:tr w:rsidR="00284EFE" w14:paraId="6B7629AE" w14:textId="77777777" w:rsidTr="631585C8">
        <w:trPr>
          <w:trHeight w:val="346"/>
        </w:trPr>
        <w:tc>
          <w:tcPr>
            <w:tcW w:w="4249" w:type="dxa"/>
          </w:tcPr>
          <w:p w14:paraId="6CB26281" w14:textId="03C5B7CD" w:rsidR="00284EFE" w:rsidRDefault="00284EFE" w:rsidP="00284EFE">
            <w:pPr>
              <w:pStyle w:val="TableParagraph"/>
            </w:pPr>
            <w:r>
              <w:t>External Auditor (Armstrong Watson)</w:t>
            </w:r>
          </w:p>
        </w:tc>
        <w:tc>
          <w:tcPr>
            <w:tcW w:w="4551" w:type="dxa"/>
          </w:tcPr>
          <w:p w14:paraId="1279F344" w14:textId="27BE16EE" w:rsidR="00284EFE" w:rsidRDefault="00284EFE" w:rsidP="00284EFE">
            <w:pPr>
              <w:pStyle w:val="TableParagraph"/>
            </w:pPr>
            <w:r>
              <w:t>Callum Wilson</w:t>
            </w:r>
          </w:p>
        </w:tc>
      </w:tr>
      <w:tr w:rsidR="00FE02E5" w14:paraId="7DBD4ED2" w14:textId="77777777" w:rsidTr="631585C8">
        <w:trPr>
          <w:trHeight w:val="346"/>
        </w:trPr>
        <w:tc>
          <w:tcPr>
            <w:tcW w:w="4249" w:type="dxa"/>
          </w:tcPr>
          <w:p w14:paraId="44E11442" w14:textId="25116913" w:rsidR="00FE02E5" w:rsidRDefault="00FE02E5" w:rsidP="00284EFE">
            <w:pPr>
              <w:pStyle w:val="TableParagraph"/>
            </w:pPr>
            <w:r w:rsidRPr="00FE02E5">
              <w:t>Chief People Officer (Observer)</w:t>
            </w:r>
          </w:p>
        </w:tc>
        <w:tc>
          <w:tcPr>
            <w:tcW w:w="4551" w:type="dxa"/>
          </w:tcPr>
          <w:p w14:paraId="09D2F994" w14:textId="70E77DE4" w:rsidR="00FE02E5" w:rsidRDefault="00FE02E5" w:rsidP="00284EFE">
            <w:pPr>
              <w:pStyle w:val="TableParagraph"/>
            </w:pPr>
            <w:r>
              <w:t>Lorna Walker</w:t>
            </w:r>
          </w:p>
        </w:tc>
      </w:tr>
    </w:tbl>
    <w:p w14:paraId="2F29D7F8" w14:textId="77777777" w:rsidR="005757C4" w:rsidRDefault="005757C4" w:rsidP="005757C4">
      <w:pPr>
        <w:pStyle w:val="BodyText"/>
        <w:ind w:left="0"/>
        <w:rPr>
          <w:b/>
        </w:rPr>
      </w:pPr>
    </w:p>
    <w:p w14:paraId="7ED8923C" w14:textId="77777777" w:rsidR="00465F11" w:rsidRDefault="00465F11"/>
    <w:sectPr w:rsidR="00465F11" w:rsidSect="005757C4">
      <w:headerReference w:type="default" r:id="rId10"/>
      <w:footerReference w:type="default" r:id="rId11"/>
      <w:pgSz w:w="11910" w:h="16840"/>
      <w:pgMar w:top="1300" w:right="1400" w:bottom="360" w:left="1480" w:header="709"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3488" w14:textId="77777777" w:rsidR="005A60B5" w:rsidRDefault="005A60B5">
      <w:r>
        <w:separator/>
      </w:r>
    </w:p>
  </w:endnote>
  <w:endnote w:type="continuationSeparator" w:id="0">
    <w:p w14:paraId="254675EE" w14:textId="77777777" w:rsidR="005A60B5" w:rsidRDefault="005A6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9D65" w14:textId="0ACB4B93" w:rsidR="002F69C2" w:rsidRPr="005757C4" w:rsidRDefault="005757C4" w:rsidP="005757C4">
    <w:pPr>
      <w:pStyle w:val="BodyText"/>
      <w:spacing w:before="30"/>
      <w:ind w:left="0"/>
    </w:pPr>
    <w:r>
      <w:t xml:space="preserve">Last Updated: </w:t>
    </w:r>
    <w:r>
      <w:fldChar w:fldCharType="begin"/>
    </w:r>
    <w:r>
      <w:instrText xml:space="preserve"> DATE \@ "d MMMM yyyy" </w:instrText>
    </w:r>
    <w:r>
      <w:fldChar w:fldCharType="separate"/>
    </w:r>
    <w:r w:rsidR="0016467D">
      <w:rPr>
        <w:noProof/>
      </w:rPr>
      <w:t>2 March 2023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D1BD6" w14:textId="77777777" w:rsidR="005A60B5" w:rsidRDefault="005A60B5">
      <w:r>
        <w:separator/>
      </w:r>
    </w:p>
  </w:footnote>
  <w:footnote w:type="continuationSeparator" w:id="0">
    <w:p w14:paraId="43791A42" w14:textId="77777777" w:rsidR="005A60B5" w:rsidRDefault="005A6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2D5A" w14:textId="189FE832" w:rsidR="005757C4" w:rsidRDefault="00CB3CF6" w:rsidP="00CB3CF6">
    <w:pPr>
      <w:pStyle w:val="Heading1"/>
      <w:spacing w:before="55"/>
      <w:ind w:left="0"/>
    </w:pPr>
    <w:r>
      <w:t>AUDIT COMMITTEE</w:t>
    </w:r>
    <w:r w:rsidR="005757C4">
      <w:t xml:space="preserve"> – Terms of Reference and Membership</w:t>
    </w:r>
  </w:p>
  <w:p w14:paraId="5BF35E95" w14:textId="77777777" w:rsidR="005757C4" w:rsidRDefault="005757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A0B09"/>
    <w:multiLevelType w:val="hybridMultilevel"/>
    <w:tmpl w:val="BCB2A48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5C03EB"/>
    <w:multiLevelType w:val="hybridMultilevel"/>
    <w:tmpl w:val="85D8197A"/>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 w15:restartNumberingAfterBreak="0">
    <w:nsid w:val="56234CD9"/>
    <w:multiLevelType w:val="hybridMultilevel"/>
    <w:tmpl w:val="E9BC986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957554"/>
    <w:multiLevelType w:val="hybridMultilevel"/>
    <w:tmpl w:val="EB1AF840"/>
    <w:lvl w:ilvl="0" w:tplc="3EEE9350">
      <w:start w:val="1"/>
      <w:numFmt w:val="decimal"/>
      <w:lvlText w:val="%1."/>
      <w:lvlJc w:val="left"/>
      <w:pPr>
        <w:ind w:left="820" w:hanging="721"/>
      </w:pPr>
      <w:rPr>
        <w:rFonts w:ascii="Calibri" w:eastAsia="Calibri" w:hAnsi="Calibri" w:cs="Calibri" w:hint="default"/>
        <w:spacing w:val="-1"/>
        <w:w w:val="100"/>
        <w:sz w:val="22"/>
        <w:szCs w:val="22"/>
        <w:lang w:val="en-US" w:eastAsia="en-US" w:bidi="en-US"/>
      </w:rPr>
    </w:lvl>
    <w:lvl w:ilvl="1" w:tplc="EE18B5DC">
      <w:numFmt w:val="bullet"/>
      <w:lvlText w:val="•"/>
      <w:lvlJc w:val="left"/>
      <w:pPr>
        <w:ind w:left="1641" w:hanging="721"/>
      </w:pPr>
      <w:rPr>
        <w:rFonts w:hint="default"/>
        <w:lang w:val="en-US" w:eastAsia="en-US" w:bidi="en-US"/>
      </w:rPr>
    </w:lvl>
    <w:lvl w:ilvl="2" w:tplc="680607F4">
      <w:numFmt w:val="bullet"/>
      <w:lvlText w:val="•"/>
      <w:lvlJc w:val="left"/>
      <w:pPr>
        <w:ind w:left="2462" w:hanging="721"/>
      </w:pPr>
      <w:rPr>
        <w:rFonts w:hint="default"/>
        <w:lang w:val="en-US" w:eastAsia="en-US" w:bidi="en-US"/>
      </w:rPr>
    </w:lvl>
    <w:lvl w:ilvl="3" w:tplc="5906A566">
      <w:numFmt w:val="bullet"/>
      <w:lvlText w:val="•"/>
      <w:lvlJc w:val="left"/>
      <w:pPr>
        <w:ind w:left="3283" w:hanging="721"/>
      </w:pPr>
      <w:rPr>
        <w:rFonts w:hint="default"/>
        <w:lang w:val="en-US" w:eastAsia="en-US" w:bidi="en-US"/>
      </w:rPr>
    </w:lvl>
    <w:lvl w:ilvl="4" w:tplc="C1AEDC62">
      <w:numFmt w:val="bullet"/>
      <w:lvlText w:val="•"/>
      <w:lvlJc w:val="left"/>
      <w:pPr>
        <w:ind w:left="4104" w:hanging="721"/>
      </w:pPr>
      <w:rPr>
        <w:rFonts w:hint="default"/>
        <w:lang w:val="en-US" w:eastAsia="en-US" w:bidi="en-US"/>
      </w:rPr>
    </w:lvl>
    <w:lvl w:ilvl="5" w:tplc="2D6E1AF4">
      <w:numFmt w:val="bullet"/>
      <w:lvlText w:val="•"/>
      <w:lvlJc w:val="left"/>
      <w:pPr>
        <w:ind w:left="4925" w:hanging="721"/>
      </w:pPr>
      <w:rPr>
        <w:rFonts w:hint="default"/>
        <w:lang w:val="en-US" w:eastAsia="en-US" w:bidi="en-US"/>
      </w:rPr>
    </w:lvl>
    <w:lvl w:ilvl="6" w:tplc="8CB6BBE6">
      <w:numFmt w:val="bullet"/>
      <w:lvlText w:val="•"/>
      <w:lvlJc w:val="left"/>
      <w:pPr>
        <w:ind w:left="5746" w:hanging="721"/>
      </w:pPr>
      <w:rPr>
        <w:rFonts w:hint="default"/>
        <w:lang w:val="en-US" w:eastAsia="en-US" w:bidi="en-US"/>
      </w:rPr>
    </w:lvl>
    <w:lvl w:ilvl="7" w:tplc="FC6096EC">
      <w:numFmt w:val="bullet"/>
      <w:lvlText w:val="•"/>
      <w:lvlJc w:val="left"/>
      <w:pPr>
        <w:ind w:left="6567" w:hanging="721"/>
      </w:pPr>
      <w:rPr>
        <w:rFonts w:hint="default"/>
        <w:lang w:val="en-US" w:eastAsia="en-US" w:bidi="en-US"/>
      </w:rPr>
    </w:lvl>
    <w:lvl w:ilvl="8" w:tplc="4DAC1262">
      <w:numFmt w:val="bullet"/>
      <w:lvlText w:val="•"/>
      <w:lvlJc w:val="left"/>
      <w:pPr>
        <w:ind w:left="7388" w:hanging="721"/>
      </w:pPr>
      <w:rPr>
        <w:rFonts w:hint="default"/>
        <w:lang w:val="en-US" w:eastAsia="en-US" w:bidi="en-US"/>
      </w:rPr>
    </w:lvl>
  </w:abstractNum>
  <w:abstractNum w:abstractNumId="4" w15:restartNumberingAfterBreak="0">
    <w:nsid w:val="6C6B2238"/>
    <w:multiLevelType w:val="hybridMultilevel"/>
    <w:tmpl w:val="E33E3EF0"/>
    <w:lvl w:ilvl="0" w:tplc="CE10DB70">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4769001">
    <w:abstractNumId w:val="3"/>
  </w:num>
  <w:num w:numId="2" w16cid:durableId="1778523743">
    <w:abstractNumId w:val="4"/>
  </w:num>
  <w:num w:numId="3" w16cid:durableId="1676876389">
    <w:abstractNumId w:val="2"/>
  </w:num>
  <w:num w:numId="4" w16cid:durableId="1943798658">
    <w:abstractNumId w:val="0"/>
  </w:num>
  <w:num w:numId="5" w16cid:durableId="1644501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9C2"/>
    <w:rsid w:val="00087B67"/>
    <w:rsid w:val="000A5744"/>
    <w:rsid w:val="000A5F8D"/>
    <w:rsid w:val="000D00AA"/>
    <w:rsid w:val="000D00E7"/>
    <w:rsid w:val="0013713A"/>
    <w:rsid w:val="00142240"/>
    <w:rsid w:val="00147B81"/>
    <w:rsid w:val="00154B66"/>
    <w:rsid w:val="0016467D"/>
    <w:rsid w:val="001B2D76"/>
    <w:rsid w:val="001C1C01"/>
    <w:rsid w:val="001D27D0"/>
    <w:rsid w:val="00272ABB"/>
    <w:rsid w:val="00284EFE"/>
    <w:rsid w:val="002F69C2"/>
    <w:rsid w:val="0030322F"/>
    <w:rsid w:val="00303265"/>
    <w:rsid w:val="00370598"/>
    <w:rsid w:val="003C466D"/>
    <w:rsid w:val="003C7E07"/>
    <w:rsid w:val="00465F11"/>
    <w:rsid w:val="004F7FB2"/>
    <w:rsid w:val="00516472"/>
    <w:rsid w:val="0055114D"/>
    <w:rsid w:val="005737DF"/>
    <w:rsid w:val="005757C4"/>
    <w:rsid w:val="00591129"/>
    <w:rsid w:val="005A60B5"/>
    <w:rsid w:val="005C1A52"/>
    <w:rsid w:val="007038B8"/>
    <w:rsid w:val="007067B2"/>
    <w:rsid w:val="007261F8"/>
    <w:rsid w:val="007837E9"/>
    <w:rsid w:val="007E4475"/>
    <w:rsid w:val="00800370"/>
    <w:rsid w:val="00825B11"/>
    <w:rsid w:val="008555C7"/>
    <w:rsid w:val="008A5479"/>
    <w:rsid w:val="008E341B"/>
    <w:rsid w:val="0094554A"/>
    <w:rsid w:val="00A1341A"/>
    <w:rsid w:val="00A17547"/>
    <w:rsid w:val="00A32BA5"/>
    <w:rsid w:val="00A83489"/>
    <w:rsid w:val="00B55416"/>
    <w:rsid w:val="00B84F78"/>
    <w:rsid w:val="00BD3D62"/>
    <w:rsid w:val="00C1608D"/>
    <w:rsid w:val="00C24527"/>
    <w:rsid w:val="00CB3CF6"/>
    <w:rsid w:val="00CF319C"/>
    <w:rsid w:val="00D353BE"/>
    <w:rsid w:val="00DB7639"/>
    <w:rsid w:val="00DF056E"/>
    <w:rsid w:val="00E61361"/>
    <w:rsid w:val="00E63AC7"/>
    <w:rsid w:val="00EA31D6"/>
    <w:rsid w:val="00EC6ED2"/>
    <w:rsid w:val="00EE0E6A"/>
    <w:rsid w:val="00F17A0F"/>
    <w:rsid w:val="00F64DF5"/>
    <w:rsid w:val="00FC61D3"/>
    <w:rsid w:val="00FD5385"/>
    <w:rsid w:val="00FE02E5"/>
    <w:rsid w:val="00FF2569"/>
    <w:rsid w:val="09DEC0E9"/>
    <w:rsid w:val="0C7E9045"/>
    <w:rsid w:val="1096EC54"/>
    <w:rsid w:val="1B4D08CC"/>
    <w:rsid w:val="1EB519AA"/>
    <w:rsid w:val="2739C864"/>
    <w:rsid w:val="3116BBBC"/>
    <w:rsid w:val="322456BE"/>
    <w:rsid w:val="35B882FF"/>
    <w:rsid w:val="3BC2E28B"/>
    <w:rsid w:val="542D0D40"/>
    <w:rsid w:val="54F6116C"/>
    <w:rsid w:val="5B8D0D48"/>
    <w:rsid w:val="5E95914F"/>
    <w:rsid w:val="631585C8"/>
    <w:rsid w:val="6F565376"/>
    <w:rsid w:val="7FDFD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87851"/>
  <w15:docId w15:val="{C4D52352-740E-4728-806E-1BC636DF3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uiPriority w:val="1"/>
    <w:qFormat/>
    <w:pPr>
      <w:spacing w:before="81"/>
      <w:ind w:left="820" w:right="243" w:hanging="720"/>
      <w:jc w:val="both"/>
    </w:pPr>
  </w:style>
  <w:style w:type="paragraph" w:customStyle="1" w:styleId="TableParagraph">
    <w:name w:val="Table Paragraph"/>
    <w:basedOn w:val="Normal"/>
    <w:uiPriority w:val="1"/>
    <w:qFormat/>
    <w:pPr>
      <w:ind w:left="118"/>
    </w:pPr>
  </w:style>
  <w:style w:type="paragraph" w:styleId="Header">
    <w:name w:val="header"/>
    <w:basedOn w:val="Normal"/>
    <w:link w:val="HeaderChar"/>
    <w:uiPriority w:val="99"/>
    <w:unhideWhenUsed/>
    <w:rsid w:val="005757C4"/>
    <w:pPr>
      <w:tabs>
        <w:tab w:val="center" w:pos="4513"/>
        <w:tab w:val="right" w:pos="9026"/>
      </w:tabs>
    </w:pPr>
  </w:style>
  <w:style w:type="character" w:customStyle="1" w:styleId="HeaderChar">
    <w:name w:val="Header Char"/>
    <w:basedOn w:val="DefaultParagraphFont"/>
    <w:link w:val="Header"/>
    <w:uiPriority w:val="99"/>
    <w:rsid w:val="005757C4"/>
    <w:rPr>
      <w:rFonts w:ascii="Calibri" w:eastAsia="Calibri" w:hAnsi="Calibri" w:cs="Calibri"/>
      <w:lang w:bidi="en-US"/>
    </w:rPr>
  </w:style>
  <w:style w:type="paragraph" w:styleId="Footer">
    <w:name w:val="footer"/>
    <w:basedOn w:val="Normal"/>
    <w:link w:val="FooterChar"/>
    <w:uiPriority w:val="99"/>
    <w:unhideWhenUsed/>
    <w:rsid w:val="005757C4"/>
    <w:pPr>
      <w:tabs>
        <w:tab w:val="center" w:pos="4513"/>
        <w:tab w:val="right" w:pos="9026"/>
      </w:tabs>
    </w:pPr>
  </w:style>
  <w:style w:type="character" w:customStyle="1" w:styleId="FooterChar">
    <w:name w:val="Footer Char"/>
    <w:basedOn w:val="DefaultParagraphFont"/>
    <w:link w:val="Footer"/>
    <w:uiPriority w:val="99"/>
    <w:rsid w:val="005757C4"/>
    <w:rPr>
      <w:rFonts w:ascii="Calibri" w:eastAsia="Calibri" w:hAnsi="Calibri" w:cs="Calibri"/>
      <w:lang w:bidi="en-US"/>
    </w:rPr>
  </w:style>
  <w:style w:type="paragraph" w:customStyle="1" w:styleId="Default">
    <w:name w:val="Default"/>
    <w:rsid w:val="005C1A52"/>
    <w:pPr>
      <w:widowControl/>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cb27fe-11ca-4158-bb63-b4fdb41c99c9">
      <Value>5</Value>
      <Value>4</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A0D3022C8E3A4293333A14EB0B09A4" ma:contentTypeVersion="32" ma:contentTypeDescription="Create a new document." ma:contentTypeScope="" ma:versionID="c526c87822a88398843efb40af4675b8">
  <xsd:schema xmlns:xsd="http://www.w3.org/2001/XMLSchema" xmlns:xs="http://www.w3.org/2001/XMLSchema" xmlns:p="http://schemas.microsoft.com/office/2006/metadata/properties" xmlns:ns3="413765a3-4be3-46c2-a9df-8aa2530b337a" xmlns:ns4="f0cb27fe-11ca-4158-bb63-b4fdb41c99c9" targetNamespace="http://schemas.microsoft.com/office/2006/metadata/properties" ma:root="true" ma:fieldsID="0e1ed0dd9a83eec5b1d75bcf9e731fcf" ns3:_="" ns4:_="">
    <xsd:import namespace="413765a3-4be3-46c2-a9df-8aa2530b337a"/>
    <xsd:import namespace="f0cb27fe-11ca-4158-bb63-b4fdb41c99c9"/>
    <xsd:element name="properties">
      <xsd:complexType>
        <xsd:sequence>
          <xsd:element name="documentManagement">
            <xsd:complexType>
              <xsd:all>
                <xsd:element ref="ns3:MediaServiceMetadata" minOccurs="0"/>
                <xsd:element ref="ns3:MediaServiceFastMetadata"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765a3-4be3-46c2-a9df-8aa2530b337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cb27fe-11ca-4158-bb63-b4fdb41c99c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74bfcdac-5569-4cb1-b903-c6ad06e4855b}" ma:internalName="TaxCatchAll" ma:showField="CatchAllData" ma:web="f0cb27fe-11ca-4158-bb63-b4fdb41c99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E7FC6B-AC64-4872-875E-07D1CD22B6D4}">
  <ds:schemaRefs>
    <ds:schemaRef ds:uri="http://schemas.microsoft.com/office/2006/metadata/properties"/>
    <ds:schemaRef ds:uri="http://schemas.microsoft.com/office/infopath/2007/PartnerControls"/>
    <ds:schemaRef ds:uri="f0cb27fe-11ca-4158-bb63-b4fdb41c99c9"/>
  </ds:schemaRefs>
</ds:datastoreItem>
</file>

<file path=customXml/itemProps2.xml><?xml version="1.0" encoding="utf-8"?>
<ds:datastoreItem xmlns:ds="http://schemas.openxmlformats.org/officeDocument/2006/customXml" ds:itemID="{CB82E6E2-DFCA-4952-A63C-1F1EF5F9842D}">
  <ds:schemaRefs>
    <ds:schemaRef ds:uri="http://schemas.microsoft.com/sharepoint/v3/contenttype/forms"/>
  </ds:schemaRefs>
</ds:datastoreItem>
</file>

<file path=customXml/itemProps3.xml><?xml version="1.0" encoding="utf-8"?>
<ds:datastoreItem xmlns:ds="http://schemas.openxmlformats.org/officeDocument/2006/customXml" ds:itemID="{7226E932-E3B2-464E-B932-0B1D182C1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765a3-4be3-46c2-a9df-8aa2530b337a"/>
    <ds:schemaRef ds:uri="f0cb27fe-11ca-4158-bb63-b4fdb41c9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University of the Highlands and Islands</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UHI Audi Committee Terms of Reference</dc:title>
  <dc:creator>Nicholas Oakley</dc:creator>
  <cp:lastModifiedBy>Llewelyn Bailey</cp:lastModifiedBy>
  <cp:revision>4</cp:revision>
  <dcterms:created xsi:type="dcterms:W3CDTF">2023-03-02T09:18:00Z</dcterms:created>
  <dcterms:modified xsi:type="dcterms:W3CDTF">2023-03-02T10:00:00Z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2020-04-20T00:00:00Z</vt:filetime>
  </property>
  <property fmtid="{D5CDD505-2E9C-101B-9397-08002B2CF9AE}" pid="3" name="Creator">
    <vt:lpwstr>Aspose Ltd.</vt:lpwstr>
  </property>
  <property fmtid="{D5CDD505-2E9C-101B-9397-08002B2CF9AE}" pid="4" name="LastSaved">
    <vt:filetime>2021-12-15T00:00:00Z</vt:filetime>
  </property>
  <property fmtid="{D5CDD505-2E9C-101B-9397-08002B2CF9AE}" pid="5" name="ContentTypeId">
    <vt:lpwstr>0x0101002EF069912ADB5D4A94D07F8107DD19DC</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Order">
    <vt:r8>209800</vt:r8>
  </property>
  <property fmtid="{D5CDD505-2E9C-101B-9397-08002B2CF9AE}" pid="10" name="n0164ad3d5b84a57907af32d91eb6282">
    <vt:lpwstr>Terms of reference|7c0439e7-a31f-43d4-b212-7a8a8ed8d09f</vt:lpwstr>
  </property>
  <property fmtid="{D5CDD505-2E9C-101B-9397-08002B2CF9AE}" pid="11" name="TaxCatchAll">
    <vt:lpwstr>137;#Terms of reference|7c0439e7-a31f-43d4-b212-7a8a8ed8d09f;#3;#Committee business documentation|7feeb65c-cc00-4bb9-9eac-287ff263c2d3</vt:lpwstr>
  </property>
  <property fmtid="{D5CDD505-2E9C-101B-9397-08002B2CF9AE}" pid="12" name="UHI classification">
    <vt:lpwstr>5;#Committee business documentation|7feeb65c-cc00-4bb9-9eac-287ff263c2d3</vt:lpwstr>
  </property>
  <property fmtid="{D5CDD505-2E9C-101B-9397-08002B2CF9AE}" pid="13" name="UHI_x0020_classification">
    <vt:lpwstr/>
  </property>
  <property fmtid="{D5CDD505-2E9C-101B-9397-08002B2CF9AE}" pid="14" name="j928f9099e4145f8a1f3a9d8f7b9fe40">
    <vt:lpwstr>Committee business documentation|7feeb65c-cc00-4bb9-9eac-287ff263c2d3</vt:lpwstr>
  </property>
  <property fmtid="{D5CDD505-2E9C-101B-9397-08002B2CF9AE}" pid="15" name="Document category">
    <vt:lpwstr>4;#Terms of reference|7c0439e7-a31f-43d4-b212-7a8a8ed8d09f</vt:lpwstr>
  </property>
  <property fmtid="{D5CDD505-2E9C-101B-9397-08002B2CF9AE}" pid="16" name="Academic year">
    <vt:lpwstr>2022/23</vt:lpwstr>
  </property>
</Properties>
</file>